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hint="eastAsia" w:ascii="黑体" w:hAnsi="黑体" w:eastAsia="黑体" w:cs="黑体"/>
          <w:b w:val="0"/>
          <w:bCs/>
          <w:spacing w:val="6"/>
          <w:sz w:val="32"/>
          <w:szCs w:val="32"/>
          <w:lang w:val="en-US" w:eastAsia="zh-CN"/>
        </w:rPr>
      </w:pPr>
      <w:r>
        <w:rPr>
          <w:rFonts w:hint="eastAsia" w:ascii="黑体" w:hAnsi="黑体" w:eastAsia="黑体" w:cs="黑体"/>
          <w:b w:val="0"/>
          <w:bCs/>
          <w:spacing w:val="6"/>
          <w:sz w:val="32"/>
          <w:szCs w:val="32"/>
          <w:lang w:eastAsia="zh-CN"/>
        </w:rPr>
        <w:t>附件</w:t>
      </w:r>
      <w:r>
        <w:rPr>
          <w:rFonts w:hint="eastAsia" w:ascii="黑体" w:hAnsi="黑体" w:eastAsia="黑体" w:cs="黑体"/>
          <w:b w:val="0"/>
          <w:bCs/>
          <w:spacing w:val="6"/>
          <w:sz w:val="32"/>
          <w:szCs w:val="32"/>
          <w:lang w:val="en-US" w:eastAsia="zh-CN"/>
        </w:rPr>
        <w:t>2</w:t>
      </w:r>
      <w:bookmarkStart w:id="0" w:name="_GoBack"/>
      <w:bookmarkEnd w:id="0"/>
    </w:p>
    <w:p>
      <w:pPr>
        <w:snapToGrid w:val="0"/>
        <w:spacing w:line="360" w:lineRule="auto"/>
        <w:jc w:val="left"/>
        <w:rPr>
          <w:rFonts w:hint="eastAsia" w:ascii="黑体" w:hAnsi="黑体" w:eastAsia="黑体" w:cs="黑体"/>
          <w:b w:val="0"/>
          <w:bCs/>
          <w:spacing w:val="6"/>
          <w:sz w:val="32"/>
          <w:szCs w:val="32"/>
          <w:lang w:val="en-US" w:eastAsia="zh-CN"/>
        </w:rPr>
      </w:pPr>
    </w:p>
    <w:p>
      <w:pPr>
        <w:snapToGrid w:val="0"/>
        <w:spacing w:line="360" w:lineRule="auto"/>
        <w:jc w:val="center"/>
        <w:rPr>
          <w:rFonts w:ascii="华文中宋" w:hAnsi="华文中宋" w:eastAsia="华文中宋"/>
          <w:b/>
          <w:spacing w:val="6"/>
          <w:sz w:val="36"/>
          <w:szCs w:val="36"/>
        </w:rPr>
      </w:pPr>
      <w:r>
        <w:rPr>
          <w:rFonts w:hint="eastAsia" w:ascii="华文中宋" w:hAnsi="华文中宋" w:eastAsia="华文中宋"/>
          <w:b/>
          <w:spacing w:val="6"/>
          <w:sz w:val="36"/>
          <w:szCs w:val="36"/>
        </w:rPr>
        <w:t>上海市生活垃圾转运、处置设施运营监管办法</w:t>
      </w:r>
    </w:p>
    <w:p>
      <w:pPr>
        <w:snapToGrid w:val="0"/>
        <w:spacing w:line="360" w:lineRule="auto"/>
        <w:jc w:val="center"/>
        <w:rPr>
          <w:rFonts w:ascii="华文中宋" w:hAnsi="华文中宋" w:eastAsia="华文中宋"/>
          <w:b/>
          <w:spacing w:val="6"/>
          <w:sz w:val="36"/>
          <w:szCs w:val="36"/>
        </w:rPr>
      </w:pPr>
      <w:r>
        <w:rPr>
          <w:rFonts w:hint="eastAsia" w:ascii="华文中宋" w:hAnsi="华文中宋" w:eastAsia="华文中宋"/>
          <w:b/>
          <w:spacing w:val="6"/>
          <w:sz w:val="36"/>
          <w:szCs w:val="36"/>
        </w:rPr>
        <w:t>（</w:t>
      </w:r>
      <w:r>
        <w:rPr>
          <w:rFonts w:hint="eastAsia" w:ascii="华文中宋" w:hAnsi="华文中宋" w:eastAsia="华文中宋"/>
          <w:b/>
          <w:spacing w:val="6"/>
          <w:sz w:val="36"/>
          <w:szCs w:val="36"/>
          <w:lang w:eastAsia="zh-CN"/>
        </w:rPr>
        <w:t>征求意见稿</w:t>
      </w:r>
      <w:r>
        <w:rPr>
          <w:rFonts w:ascii="华文中宋" w:hAnsi="华文中宋" w:eastAsia="华文中宋"/>
          <w:b/>
          <w:spacing w:val="6"/>
          <w:sz w:val="36"/>
          <w:szCs w:val="36"/>
        </w:rPr>
        <w:t>）</w:t>
      </w:r>
    </w:p>
    <w:p>
      <w:pPr>
        <w:pStyle w:val="3"/>
        <w:spacing w:before="0" w:after="0" w:line="560" w:lineRule="exact"/>
        <w:ind w:firstLine="707" w:firstLineChars="220"/>
      </w:pPr>
      <w:r>
        <w:rPr>
          <w:rFonts w:hint="eastAsia"/>
        </w:rPr>
        <w:t>第一条（目的和依据）</w:t>
      </w:r>
    </w:p>
    <w:p>
      <w:pPr>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为规范本市生活垃圾转运、处置设施运营活动，进一步提升全市生活垃圾转运、处置设施及其附属、配套设施的运营监管成效，确保生活垃圾转运、处置计量准确、按类处理、环境友好、高效运行</w:t>
      </w:r>
      <w:r>
        <w:rPr>
          <w:rFonts w:ascii="仿宋" w:hAnsi="仿宋" w:eastAsia="仿宋"/>
          <w:sz w:val="32"/>
          <w:szCs w:val="32"/>
        </w:rPr>
        <w:t>，</w:t>
      </w:r>
      <w:r>
        <w:rPr>
          <w:rFonts w:hint="eastAsia" w:ascii="仿宋" w:hAnsi="仿宋" w:eastAsia="仿宋"/>
          <w:sz w:val="32"/>
          <w:szCs w:val="32"/>
        </w:rPr>
        <w:t>根据《城市市容和环境卫生管理条例》《上海市生活垃圾管理条例》等法律、法规，结合本市实际，制定本办法。</w:t>
      </w:r>
    </w:p>
    <w:p>
      <w:pPr>
        <w:pStyle w:val="3"/>
        <w:spacing w:before="0" w:after="0" w:line="560" w:lineRule="exact"/>
        <w:ind w:firstLine="707" w:firstLineChars="220"/>
      </w:pPr>
      <w:r>
        <w:rPr>
          <w:rFonts w:hint="eastAsia"/>
        </w:rPr>
        <w:t>第二条（适用范围和含义）</w:t>
      </w:r>
    </w:p>
    <w:p>
      <w:pPr>
        <w:adjustRightInd w:val="0"/>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本办法适用于本市生活垃圾转运、处置设施及其附属、配套设施的运营监管工作。</w:t>
      </w:r>
    </w:p>
    <w:p>
      <w:pPr>
        <w:pStyle w:val="3"/>
        <w:spacing w:before="0" w:after="0" w:line="560" w:lineRule="exact"/>
        <w:ind w:firstLine="707" w:firstLineChars="220"/>
      </w:pPr>
      <w:r>
        <w:rPr>
          <w:rFonts w:hint="eastAsia"/>
        </w:rPr>
        <w:t>第三条（职责分工）</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上海市绿化和市容管理局(以下简称：市绿化市容局)是本市生活垃圾转运、处置设施及其附属、配套设施运营监管的主管部门。</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市绿化市容局所属的上海市废弃物管理处(以下简称：市废管处)负责本市生活垃圾转运、处置设施及其附属、配套设施运营监管的具体事务。市废管处负责市属生活垃圾转运、处置设施及其附属、配套设施（以下简称：市属设施）运营的日常监管，对其余生活垃圾转运、处置设施及其附属、配套设施运营监管的指导和监督。</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各区绿化市容局(以下简称：区绿化市容局)负责区属生活垃圾转运、处置设施及其附属、配套设施（以下简称：区属设施）运营的日常监管，以及对街镇管设施的运营监管开展</w:t>
      </w:r>
      <w:r>
        <w:rPr>
          <w:rFonts w:ascii="仿宋" w:hAnsi="仿宋" w:eastAsia="仿宋"/>
          <w:sz w:val="32"/>
          <w:szCs w:val="32"/>
        </w:rPr>
        <w:t>指导与监</w:t>
      </w:r>
      <w:r>
        <w:rPr>
          <w:rFonts w:hint="eastAsia" w:ascii="仿宋" w:hAnsi="仿宋" w:eastAsia="仿宋"/>
          <w:sz w:val="32"/>
          <w:szCs w:val="32"/>
        </w:rPr>
        <w:t>督。</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镇人民政府、街道办事处负责</w:t>
      </w:r>
      <w:r>
        <w:rPr>
          <w:rFonts w:ascii="仿宋" w:hAnsi="仿宋" w:eastAsia="仿宋"/>
          <w:sz w:val="32"/>
          <w:szCs w:val="32"/>
        </w:rPr>
        <w:t>辖区内</w:t>
      </w:r>
      <w:r>
        <w:rPr>
          <w:rFonts w:hint="eastAsia" w:ascii="仿宋" w:hAnsi="仿宋" w:eastAsia="仿宋"/>
          <w:sz w:val="32"/>
          <w:szCs w:val="32"/>
        </w:rPr>
        <w:t>街镇管设施运营的日常监管。</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上海城投（集团）有限公司（以下简称：城投集团）负责老港生态环保基地内生活垃圾处置及其附属、配套设施的具体管理工作。</w:t>
      </w:r>
    </w:p>
    <w:p>
      <w:pPr>
        <w:pStyle w:val="3"/>
        <w:spacing w:before="0" w:after="0" w:line="560" w:lineRule="exact"/>
        <w:ind w:firstLine="707" w:firstLineChars="220"/>
      </w:pPr>
      <w:r>
        <w:rPr>
          <w:rFonts w:hint="eastAsia"/>
        </w:rPr>
        <w:t>第四条（监管措施）</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各级绿化市容部门及有关管理单位（以下简称：监管单位），按照本管理办法第三条之规定的分工，并作为本市相应生活垃圾转运、处置设施的运营监管工作责任主体，在日常监管应采取下列监管措施：</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（一）建立健全必要的监管体系、监管制度和工作流程，对转运、处置设施运营情况实施监管；</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（二）采用定期检查和不定期抽查、专项检查与专业监测（检测、监审）相结合的方式开展监管工作；</w:t>
      </w:r>
    </w:p>
    <w:p>
      <w:pPr>
        <w:snapToGrid w:val="0"/>
        <w:spacing w:line="560" w:lineRule="exact"/>
        <w:ind w:firstLine="709"/>
        <w:rPr>
          <w:rFonts w:ascii="仿宋" w:hAnsi="仿宋" w:eastAsia="仿宋"/>
          <w:sz w:val="32"/>
          <w:szCs w:val="32"/>
        </w:rPr>
      </w:pPr>
      <w:r>
        <w:rPr>
          <w:rFonts w:hint="eastAsia" w:ascii="仿宋" w:hAnsi="仿宋" w:eastAsia="仿宋"/>
          <w:sz w:val="32"/>
          <w:szCs w:val="32"/>
        </w:rPr>
        <w:t>（三）定期召开监管例会，传达、布置和执行上级及监管单位工作要求，对已发现的问题督促有关责任单位落实整改。</w:t>
      </w:r>
    </w:p>
    <w:p>
      <w:pPr>
        <w:snapToGrid w:val="0"/>
        <w:spacing w:line="560" w:lineRule="exact"/>
        <w:ind w:firstLine="709"/>
        <w:rPr>
          <w:rFonts w:ascii="仿宋" w:hAnsi="仿宋" w:eastAsia="仿宋"/>
          <w:sz w:val="32"/>
          <w:szCs w:val="32"/>
        </w:rPr>
      </w:pPr>
      <w:r>
        <w:rPr>
          <w:rFonts w:hint="eastAsia" w:ascii="仿宋" w:hAnsi="仿宋" w:eastAsia="仿宋"/>
          <w:sz w:val="32"/>
          <w:szCs w:val="32"/>
        </w:rPr>
        <w:t>（四）法律、法规和规章规定的其他监管措施</w:t>
      </w:r>
    </w:p>
    <w:p>
      <w:pPr>
        <w:pStyle w:val="3"/>
        <w:spacing w:before="0" w:after="0" w:line="560" w:lineRule="exact"/>
        <w:ind w:firstLine="707" w:firstLineChars="220"/>
      </w:pPr>
      <w:r>
        <w:rPr>
          <w:rFonts w:hint="eastAsia"/>
        </w:rPr>
        <w:t>第五条（信息系统建设）</w:t>
      </w:r>
    </w:p>
    <w:p>
      <w:pPr>
        <w:snapToGrid w:val="0"/>
        <w:spacing w:line="560" w:lineRule="exact"/>
        <w:ind w:firstLine="709"/>
        <w:rPr>
          <w:rFonts w:ascii="仿宋" w:hAnsi="仿宋" w:eastAsia="仿宋"/>
          <w:sz w:val="32"/>
          <w:szCs w:val="32"/>
        </w:rPr>
      </w:pPr>
      <w:r>
        <w:rPr>
          <w:rFonts w:hint="eastAsia" w:ascii="仿宋" w:hAnsi="仿宋" w:eastAsia="仿宋"/>
          <w:sz w:val="32"/>
          <w:szCs w:val="32"/>
        </w:rPr>
        <w:t>监管单位应健全完善信息化智能监管平台，将转运、处置设施所有信息系统、在线监测系统接入上海市固废综合监管平台，有序推进转运、处置设施运营监管工作的信息化建设，逐步提高运营监管的智能化、现代化水平。</w:t>
      </w:r>
    </w:p>
    <w:p>
      <w:pPr>
        <w:pStyle w:val="3"/>
        <w:spacing w:before="0" w:after="0" w:line="560" w:lineRule="exact"/>
        <w:ind w:firstLine="707" w:firstLineChars="220"/>
      </w:pPr>
      <w:r>
        <w:rPr>
          <w:rFonts w:hint="eastAsia"/>
        </w:rPr>
        <w:t>第六条（监管事项）</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依据有关法律法规、技术标准，针对生活垃圾转运、处置设施运营活动的监管内容，应包括但不限于以下的内容：</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（一）称重计量。针对各设施的称重计量器具技术性能、适用状态、计量数据等项目进行监管，实时反映生活垃圾流量流向，确保计量数据准确。</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（二）运营效率。针对各设施的运营任务和时长、运行参数指标、运营工艺流程、设施设备维护保养、应对应急突发状况等项目进行监管，确保设施高效、稳定运行。</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（三）环境效果。针对各设施运营过程中的污染物排放、对周边环境的影响进行监管，确保设施达标排放，对周边环境的影响降至最低。</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（四）经济效益。针对各设施的经济消耗、能源消耗控制、直接或间接产出的有价值物数量、品质等项目进行监管，确保设施运营成本控制在合理的价值空间。</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（五）社会效应。针对各设施运营过程中的安全生产管理、主要参数指标公示、公众开放、信访处理、承担社会责任等项目进行监管，实现设施社会效应与经济效益相统一。</w:t>
      </w:r>
    </w:p>
    <w:p>
      <w:pPr>
        <w:widowControl/>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（六）法律、法规和规章等规定的其他监管事项。</w:t>
      </w:r>
    </w:p>
    <w:p>
      <w:pPr>
        <w:pStyle w:val="3"/>
        <w:spacing w:before="0" w:after="0" w:line="560" w:lineRule="exact"/>
        <w:ind w:firstLine="707" w:firstLineChars="220"/>
      </w:pPr>
      <w:r>
        <w:rPr>
          <w:rFonts w:hint="eastAsia"/>
        </w:rPr>
        <w:t>第七条（称重计量监管）</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生活垃圾转运、处置设施的计量监管遵循分类计量、分级管理原则，按照“一车、一牌、一品类、一任务”，并使用车辆号牌作为电子身份认证，实现生活垃圾计量数据自动采集、实时上传至上海市生活垃圾全程计量系统。</w:t>
      </w:r>
    </w:p>
    <w:p>
      <w:pPr>
        <w:snapToGrid w:val="0"/>
        <w:spacing w:line="560" w:lineRule="exact"/>
        <w:ind w:firstLine="640"/>
        <w:jc w:val="left"/>
        <w:rPr>
          <w:rFonts w:ascii="仿宋" w:hAnsi="仿宋" w:eastAsia="仿宋"/>
          <w:sz w:val="32"/>
          <w:szCs w:val="32"/>
        </w:rPr>
      </w:pPr>
      <w:r>
        <w:rPr>
          <w:rFonts w:hint="eastAsia" w:ascii="仿宋" w:hAnsi="仿宋" w:eastAsia="仿宋"/>
          <w:sz w:val="32"/>
          <w:szCs w:val="32"/>
        </w:rPr>
        <w:t>（一）计量设施设备</w:t>
      </w:r>
    </w:p>
    <w:p>
      <w:pPr>
        <w:snapToGrid w:val="0"/>
        <w:spacing w:line="560" w:lineRule="exact"/>
        <w:ind w:firstLine="709"/>
        <w:jc w:val="left"/>
        <w:rPr>
          <w:rFonts w:ascii="仿宋" w:hAnsi="仿宋" w:eastAsia="仿宋"/>
          <w:sz w:val="32"/>
          <w:szCs w:val="32"/>
        </w:rPr>
      </w:pPr>
      <w:r>
        <w:rPr>
          <w:rFonts w:hint="eastAsia" w:ascii="仿宋" w:hAnsi="仿宋" w:eastAsia="仿宋"/>
          <w:sz w:val="32"/>
          <w:szCs w:val="32"/>
        </w:rPr>
        <w:t>设计规模大于等于300吨/天的生活垃圾转运、处置设施，必须安装满足双向（进场、出场）计量要求的固定式自动计量装置。</w:t>
      </w:r>
    </w:p>
    <w:p>
      <w:pPr>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设计规模大于等于50吨/天且小于300吨/天的生活垃圾转运、处置设施，应安装固定式自动计量装置，若受条件限制不能安装固定式自动计量装置，必须安装便携式自动计量设备,便携式自动计量设备应具有垃圾类别和计量数据匹配功能。</w:t>
      </w:r>
    </w:p>
    <w:p>
      <w:pPr>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设计规模小于50吨/天的生活垃圾处置设施，应当安装固定式或者便携式自动计量设备。若同时受到场地条件和称重技术的限制，不能安装自动计量设备的，应由区绿化市容局确定该设施的能耗消耗与转运、处置量的换算比例（以下简称：能耗计算方式），并向市废管处报备。</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（二）计量服务单位</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生活垃圾转运、处置计量的日常运行操作，应由专业的计量服务单位承担。计量服务单位应确保系统运行稳定、传输及时准确、数据保存安全。</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（三）计量数据</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所有计量装置设备产生的计量数据均采用统一接口，实时上传至上海市生活垃圾全程计量系统，作为结算依据。</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未采用统一数据接口和采用能耗计算方式的转运、处置设施，运营单位应在每个自然月结束后</w:t>
      </w:r>
      <w:r>
        <w:rPr>
          <w:rFonts w:ascii="仿宋" w:hAnsi="仿宋" w:eastAsia="仿宋"/>
          <w:sz w:val="32"/>
          <w:szCs w:val="32"/>
        </w:rPr>
        <w:t>3个工作日内将计量记录和能耗凭证的数据报送区绿化市容局，区绿化市容局应在每个自然月结束后的6个工作日内，将数据填报至</w:t>
      </w:r>
      <w:r>
        <w:rPr>
          <w:rFonts w:hint="eastAsia" w:ascii="仿宋" w:hAnsi="仿宋" w:eastAsia="仿宋"/>
          <w:sz w:val="32"/>
          <w:szCs w:val="32"/>
        </w:rPr>
        <w:t>上海市生活垃圾全程计量系统，</w:t>
      </w:r>
      <w:r>
        <w:rPr>
          <w:rFonts w:ascii="仿宋" w:hAnsi="仿宋" w:eastAsia="仿宋"/>
          <w:sz w:val="32"/>
          <w:szCs w:val="32"/>
        </w:rPr>
        <w:t>计量记录和能耗凭证的材料由运营单位</w:t>
      </w:r>
      <w:r>
        <w:rPr>
          <w:rFonts w:hint="eastAsia" w:ascii="仿宋" w:hAnsi="仿宋" w:eastAsia="仿宋"/>
          <w:sz w:val="32"/>
          <w:szCs w:val="32"/>
        </w:rPr>
        <w:t>保存、备查。</w:t>
      </w:r>
    </w:p>
    <w:p>
      <w:pPr>
        <w:snapToGrid w:val="0"/>
        <w:spacing w:line="560" w:lineRule="exact"/>
        <w:ind w:firstLine="640" w:firstLineChars="200"/>
        <w:jc w:val="left"/>
        <w:rPr>
          <w:rFonts w:ascii="黑体" w:hAnsi="黑体" w:eastAsia="黑体"/>
          <w:sz w:val="32"/>
          <w:szCs w:val="32"/>
        </w:rPr>
      </w:pPr>
      <w:r>
        <w:rPr>
          <w:rFonts w:hint="eastAsia" w:ascii="仿宋" w:hAnsi="仿宋" w:eastAsia="仿宋"/>
          <w:sz w:val="32"/>
          <w:szCs w:val="32"/>
        </w:rPr>
        <w:t>全市生活垃圾计量数据由市绿化市容局统一对外发布。</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（四）计量管理</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市废管处应当将环卫车辆号牌信息纳入上海市生活垃圾全程计量系统，明确车辆性质、承运品质、进出转运、处置设施的任务，对车辆号牌信息进行登记、暂停、变更、注销等全流程管控。做好对进入转运、处置设施的其他类型作业车辆资料的检查工作。</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因计量装置及附属设施出现异常情况（包括停电、电子身份识别故障、地衡故障等）时，及时</w:t>
      </w:r>
      <w:r>
        <w:rPr>
          <w:rFonts w:ascii="仿宋" w:hAnsi="仿宋" w:eastAsia="仿宋"/>
          <w:sz w:val="32"/>
          <w:szCs w:val="32"/>
        </w:rPr>
        <w:t>上报，并采取人工计量（</w:t>
      </w:r>
      <w:r>
        <w:rPr>
          <w:rFonts w:hint="eastAsia" w:ascii="仿宋" w:hAnsi="仿宋" w:eastAsia="仿宋"/>
          <w:sz w:val="32"/>
          <w:szCs w:val="32"/>
        </w:rPr>
        <w:t>可</w:t>
      </w:r>
      <w:r>
        <w:rPr>
          <w:rFonts w:ascii="仿宋" w:hAnsi="仿宋" w:eastAsia="仿宋"/>
          <w:sz w:val="32"/>
          <w:szCs w:val="32"/>
        </w:rPr>
        <w:t>按同车前</w:t>
      </w:r>
      <w:r>
        <w:rPr>
          <w:rFonts w:hint="eastAsia" w:ascii="仿宋" w:hAnsi="仿宋" w:eastAsia="仿宋"/>
          <w:sz w:val="32"/>
          <w:szCs w:val="32"/>
        </w:rPr>
        <w:t>7天</w:t>
      </w:r>
      <w:r>
        <w:rPr>
          <w:rFonts w:ascii="仿宋" w:hAnsi="仿宋" w:eastAsia="仿宋"/>
          <w:sz w:val="32"/>
          <w:szCs w:val="32"/>
        </w:rPr>
        <w:t>平均装载量计）</w:t>
      </w:r>
      <w:r>
        <w:rPr>
          <w:rFonts w:hint="eastAsia" w:ascii="仿宋" w:hAnsi="仿宋" w:eastAsia="仿宋"/>
          <w:sz w:val="32"/>
          <w:szCs w:val="32"/>
        </w:rPr>
        <w:t>记录，运输车辆和随车人员应积极配合进行人工计量。</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所有经过计量装置的车辆按照称重计量作业规范进行过磅。</w:t>
      </w:r>
    </w:p>
    <w:p>
      <w:pPr>
        <w:pStyle w:val="3"/>
        <w:spacing w:before="0" w:after="0" w:line="560" w:lineRule="exact"/>
        <w:ind w:firstLine="707" w:firstLineChars="220"/>
      </w:pPr>
      <w:r>
        <w:rPr>
          <w:rFonts w:hint="eastAsia"/>
        </w:rPr>
        <w:t>第八条（运营效率监管）</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各监管单位应按下列内容，开展转运、处置设施的运营效率监管工作，促进各设施安全、规范运行。</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（一）督促设施运营单位依法取得上海市生活垃圾经营性服务行政许可，合法、守法运行。</w:t>
      </w:r>
    </w:p>
    <w:p>
      <w:pPr>
        <w:pStyle w:val="5"/>
        <w:tabs>
          <w:tab w:val="right" w:pos="8306"/>
        </w:tabs>
        <w:adjustRightInd w:val="0"/>
        <w:snapToGrid w:val="0"/>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（二</w:t>
      </w:r>
      <w:r>
        <w:rPr>
          <w:rFonts w:ascii="仿宋" w:hAnsi="仿宋" w:eastAsia="仿宋" w:cstheme="minorBidi"/>
          <w:sz w:val="32"/>
          <w:szCs w:val="32"/>
        </w:rPr>
        <w:t>）</w:t>
      </w:r>
      <w:r>
        <w:rPr>
          <w:rFonts w:hint="eastAsia" w:ascii="仿宋" w:hAnsi="仿宋" w:eastAsia="仿宋" w:cstheme="minorBidi"/>
          <w:sz w:val="32"/>
          <w:szCs w:val="32"/>
        </w:rPr>
        <w:t>根据有关规定，督促设施营单位规范使用生活垃圾转运、处置设施及附属设备，做好相应设施（设备）的维护、保养，确保设施（设备）运行良好。</w:t>
      </w:r>
    </w:p>
    <w:p>
      <w:pPr>
        <w:pStyle w:val="5"/>
        <w:tabs>
          <w:tab w:val="right" w:pos="8306"/>
        </w:tabs>
        <w:adjustRightInd w:val="0"/>
        <w:snapToGrid w:val="0"/>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（三）督促运营单位严格按照协议约定接收生活垃圾，制定并实施年度工作计划和相应的应急工作方案，确保生活垃圾及时高效转运、处置。</w:t>
      </w:r>
    </w:p>
    <w:p>
      <w:pPr>
        <w:pStyle w:val="5"/>
        <w:tabs>
          <w:tab w:val="right" w:pos="8306"/>
        </w:tabs>
        <w:adjustRightInd w:val="0"/>
        <w:snapToGrid w:val="0"/>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（四）依据国家、本市和有关管理部门的工作要求和整改要求，督促有关运营单位制定并实施相应的专项方案或整改方案，确保有关要求贯彻落实到位。</w:t>
      </w:r>
    </w:p>
    <w:p>
      <w:pPr>
        <w:pStyle w:val="5"/>
        <w:tabs>
          <w:tab w:val="right" w:pos="8306"/>
        </w:tabs>
        <w:adjustRightInd w:val="0"/>
        <w:snapToGrid w:val="0"/>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（五）督促运营单位严格按照监管单位许可的经营范围和种类，开展生活垃圾转运、处置工作。接收协议约定外的固体废弃物时，应当征询相应绿化市容部门意见。</w:t>
      </w:r>
    </w:p>
    <w:p>
      <w:pPr>
        <w:pStyle w:val="5"/>
        <w:tabs>
          <w:tab w:val="right" w:pos="8306"/>
        </w:tabs>
        <w:adjustRightInd w:val="0"/>
        <w:snapToGrid w:val="0"/>
        <w:spacing w:line="560" w:lineRule="exact"/>
        <w:ind w:firstLine="640" w:firstLineChars="200"/>
        <w:rPr>
          <w:rFonts w:ascii="仿宋" w:hAnsi="仿宋" w:eastAsia="仿宋"/>
          <w:color w:val="000000" w:themeColor="text1"/>
          <w:sz w:val="32"/>
          <w:szCs w:val="32"/>
        </w:rPr>
      </w:pPr>
      <w:r>
        <w:rPr>
          <w:rFonts w:hint="eastAsia" w:ascii="仿宋" w:hAnsi="仿宋" w:eastAsia="仿宋" w:cstheme="minorBidi"/>
          <w:sz w:val="32"/>
          <w:szCs w:val="32"/>
        </w:rPr>
        <w:t>（六）督促运营单位</w:t>
      </w:r>
      <w:r>
        <w:rPr>
          <w:rFonts w:hint="eastAsia" w:ascii="仿宋" w:hAnsi="仿宋" w:eastAsia="仿宋"/>
          <w:color w:val="000000" w:themeColor="text1"/>
          <w:sz w:val="32"/>
          <w:szCs w:val="32"/>
        </w:rPr>
        <w:t>按要求填写、填报运营报告和报表，并保证相关报告、报表的真实性、准确性。</w:t>
      </w:r>
    </w:p>
    <w:p>
      <w:pPr>
        <w:pStyle w:val="5"/>
        <w:tabs>
          <w:tab w:val="right" w:pos="8306"/>
        </w:tabs>
        <w:adjustRightInd w:val="0"/>
        <w:snapToGrid w:val="0"/>
        <w:spacing w:line="560" w:lineRule="exact"/>
        <w:ind w:firstLine="640" w:firstLineChars="200"/>
        <w:rPr>
          <w:rFonts w:ascii="仿宋" w:hAnsi="仿宋" w:eastAsia="仿宋" w:cstheme="minorBidi"/>
          <w:color w:val="000000" w:themeColor="text1"/>
          <w:sz w:val="32"/>
          <w:szCs w:val="32"/>
        </w:rPr>
      </w:pPr>
      <w:r>
        <w:rPr>
          <w:rFonts w:hint="eastAsia" w:ascii="仿宋" w:hAnsi="仿宋" w:eastAsia="仿宋"/>
          <w:color w:val="000000" w:themeColor="text1"/>
          <w:sz w:val="32"/>
          <w:szCs w:val="32"/>
        </w:rPr>
        <w:t>（七）督促运营单位在设施主体工程改建，扩建、主体装置技改等项目或运营现状发生重大改变时，及时做好事前报告工作</w:t>
      </w:r>
      <w:r>
        <w:rPr>
          <w:rFonts w:hint="eastAsia" w:ascii="仿宋" w:hAnsi="仿宋" w:eastAsia="仿宋" w:cstheme="minorBidi"/>
          <w:color w:val="000000" w:themeColor="text1"/>
          <w:sz w:val="32"/>
          <w:szCs w:val="32"/>
        </w:rPr>
        <w:t>。</w:t>
      </w:r>
    </w:p>
    <w:p>
      <w:pPr>
        <w:pStyle w:val="3"/>
        <w:spacing w:before="0" w:after="0" w:line="560" w:lineRule="exact"/>
        <w:ind w:firstLine="707" w:firstLineChars="220"/>
      </w:pPr>
      <w:r>
        <w:rPr>
          <w:rFonts w:hint="eastAsia"/>
        </w:rPr>
        <w:t>第九条（环境效果监管）</w:t>
      </w:r>
    </w:p>
    <w:p>
      <w:pPr>
        <w:snapToGrid w:val="0"/>
        <w:spacing w:line="560" w:lineRule="exact"/>
        <w:ind w:firstLine="707" w:firstLineChars="221"/>
        <w:rPr>
          <w:rFonts w:ascii="仿宋" w:hAnsi="仿宋" w:eastAsia="仿宋"/>
          <w:color w:val="000000" w:themeColor="text1"/>
          <w:sz w:val="32"/>
          <w:szCs w:val="32"/>
        </w:rPr>
      </w:pPr>
      <w:r>
        <w:rPr>
          <w:rFonts w:hint="eastAsia" w:ascii="仿宋" w:hAnsi="仿宋" w:eastAsia="仿宋"/>
          <w:color w:val="000000" w:themeColor="text1"/>
          <w:sz w:val="32"/>
          <w:szCs w:val="32"/>
        </w:rPr>
        <w:t>监管单位应按照下列内容，开展设施运营</w:t>
      </w:r>
      <w:r>
        <w:rPr>
          <w:rFonts w:hint="eastAsia" w:ascii="仿宋" w:hAnsi="仿宋" w:eastAsia="仿宋"/>
          <w:sz w:val="32"/>
          <w:szCs w:val="32"/>
        </w:rPr>
        <w:t>环境效果监管工作</w:t>
      </w:r>
      <w:r>
        <w:rPr>
          <w:rFonts w:hint="eastAsia" w:ascii="仿宋" w:hAnsi="仿宋" w:eastAsia="仿宋"/>
          <w:color w:val="000000" w:themeColor="text1"/>
          <w:sz w:val="32"/>
          <w:szCs w:val="32"/>
        </w:rPr>
        <w:t>，促进设施稳定、高效运行。</w:t>
      </w:r>
    </w:p>
    <w:p>
      <w:pPr>
        <w:pStyle w:val="5"/>
        <w:tabs>
          <w:tab w:val="right" w:pos="8306"/>
        </w:tabs>
        <w:adjustRightInd w:val="0"/>
        <w:snapToGrid w:val="0"/>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（一）督促运营单位做好运营过程中设施污染物排放，设施周边环境的</w:t>
      </w:r>
      <w:r>
        <w:rPr>
          <w:rFonts w:hint="eastAsia" w:ascii="仿宋" w:hAnsi="仿宋" w:eastAsia="仿宋"/>
          <w:sz w:val="32"/>
          <w:szCs w:val="32"/>
        </w:rPr>
        <w:t>水体、大气、噪声、土壤和灰（渣）等相关环境指标的检测和监测，确保运营过程中污染物排放符合相关标准要求</w:t>
      </w:r>
      <w:r>
        <w:rPr>
          <w:rFonts w:hint="eastAsia" w:ascii="仿宋" w:hAnsi="仿宋" w:eastAsia="仿宋" w:cstheme="minorBidi"/>
          <w:sz w:val="32"/>
          <w:szCs w:val="32"/>
        </w:rPr>
        <w:t>。</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（二）督促运营单位在转运、处置过程中，采取有效措施，确保设施内部与周边卫生责任区环境卫生整洁。</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（三）督促运营单位按照转运、处置能力配备作业车辆清洗设备，制定车辆冲洗和车容车貌自检制度并组织实施，确保进出场车辆车容车貌整洁。</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（四）督促运营单位编制环境污染等突发事件的应急预案，并定期开展应急演练。采取有效措施积极应对环境污染等突发事件，及时报告并配合相关监管单位调查。</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（五）按照自动监测数据标记规则，督促运营单位及时准确标记运行工况和自动监测异常情况，做好设备的校准，确保在线数据正常稳定。</w:t>
      </w:r>
    </w:p>
    <w:p>
      <w:pPr>
        <w:snapToGrid w:val="0"/>
        <w:spacing w:line="560" w:lineRule="exact"/>
        <w:ind w:firstLine="640" w:firstLineChars="200"/>
        <w:rPr>
          <w:rFonts w:ascii="仿宋" w:hAnsi="仿宋" w:eastAsia="仿宋"/>
          <w:color w:val="FF0000"/>
          <w:sz w:val="32"/>
          <w:szCs w:val="32"/>
        </w:rPr>
      </w:pPr>
      <w:r>
        <w:rPr>
          <w:rFonts w:hint="eastAsia" w:ascii="仿宋" w:hAnsi="仿宋" w:eastAsia="仿宋"/>
          <w:sz w:val="32"/>
          <w:szCs w:val="32"/>
        </w:rPr>
        <w:t>（六）督促运营单位</w:t>
      </w:r>
      <w:r>
        <w:rPr>
          <w:rFonts w:hint="eastAsia" w:ascii="仿宋" w:hAnsi="仿宋" w:eastAsia="仿宋"/>
          <w:color w:val="000000" w:themeColor="text1"/>
          <w:sz w:val="32"/>
          <w:szCs w:val="32"/>
        </w:rPr>
        <w:t>真实、准确、完整、有效的记录和保存环保、检测、监测等报表报告。</w:t>
      </w:r>
    </w:p>
    <w:p>
      <w:pPr>
        <w:pStyle w:val="5"/>
        <w:tabs>
          <w:tab w:val="right" w:pos="8306"/>
        </w:tabs>
        <w:adjustRightInd w:val="0"/>
        <w:snapToGrid w:val="0"/>
        <w:spacing w:line="560" w:lineRule="exact"/>
        <w:ind w:firstLine="710" w:firstLineChars="221"/>
        <w:rPr>
          <w:rFonts w:asciiTheme="majorHAnsi" w:hAnsiTheme="majorHAnsi" w:eastAsiaTheme="majorEastAsia" w:cstheme="majorBidi"/>
          <w:b/>
          <w:bCs/>
          <w:sz w:val="32"/>
          <w:szCs w:val="32"/>
        </w:rPr>
      </w:pPr>
      <w:r>
        <w:rPr>
          <w:rFonts w:hint="eastAsia" w:asciiTheme="majorHAnsi" w:hAnsiTheme="majorHAnsi" w:eastAsiaTheme="majorEastAsia" w:cstheme="majorBidi"/>
          <w:b/>
          <w:bCs/>
          <w:sz w:val="32"/>
          <w:szCs w:val="32"/>
        </w:rPr>
        <w:t>第十条（经济效益监管）</w:t>
      </w:r>
    </w:p>
    <w:p>
      <w:pPr>
        <w:pStyle w:val="5"/>
        <w:tabs>
          <w:tab w:val="right" w:pos="8306"/>
        </w:tabs>
        <w:adjustRightInd w:val="0"/>
        <w:snapToGrid w:val="0"/>
        <w:spacing w:line="560" w:lineRule="exact"/>
        <w:ind w:firstLine="707" w:firstLineChars="221"/>
        <w:rPr>
          <w:rFonts w:ascii="仿宋" w:hAnsi="仿宋" w:eastAsia="仿宋" w:cstheme="minorBidi"/>
          <w:sz w:val="32"/>
          <w:szCs w:val="32"/>
        </w:rPr>
      </w:pPr>
      <w:r>
        <w:rPr>
          <w:rFonts w:hint="eastAsia" w:ascii="仿宋" w:hAnsi="仿宋" w:eastAsia="仿宋"/>
          <w:sz w:val="32"/>
          <w:szCs w:val="32"/>
        </w:rPr>
        <w:t>监管单位应督促运营单位合理控制运营成本，配合开展成本调查和成本监审等工作。将运营成本</w:t>
      </w:r>
      <w:r>
        <w:rPr>
          <w:rFonts w:hint="eastAsia" w:ascii="仿宋" w:hAnsi="仿宋" w:eastAsia="仿宋"/>
          <w:color w:val="000000" w:themeColor="text1"/>
          <w:sz w:val="32"/>
          <w:szCs w:val="32"/>
        </w:rPr>
        <w:t>与设施运行时长、运行负荷、直接或间接产出的有价值物数量、品质和能耗等因素进行比对分析，督促设施运营单位有针对性地</w:t>
      </w:r>
      <w:r>
        <w:rPr>
          <w:rFonts w:hint="eastAsia" w:ascii="仿宋" w:hAnsi="仿宋" w:eastAsia="仿宋"/>
          <w:sz w:val="32"/>
          <w:szCs w:val="32"/>
        </w:rPr>
        <w:t>提高设施运行效率。</w:t>
      </w:r>
    </w:p>
    <w:p>
      <w:pPr>
        <w:pStyle w:val="3"/>
        <w:spacing w:before="0" w:after="0" w:line="560" w:lineRule="exact"/>
        <w:ind w:firstLine="707" w:firstLineChars="220"/>
      </w:pPr>
      <w:r>
        <w:rPr>
          <w:rFonts w:hint="eastAsia"/>
        </w:rPr>
        <w:t>第十一条（社会效应监管）</w:t>
      </w:r>
    </w:p>
    <w:p>
      <w:pPr>
        <w:spacing w:line="560" w:lineRule="exact"/>
        <w:ind w:firstLine="707" w:firstLineChars="221"/>
      </w:pPr>
      <w:r>
        <w:rPr>
          <w:rFonts w:hint="eastAsia" w:ascii="仿宋" w:hAnsi="仿宋" w:eastAsia="仿宋"/>
          <w:color w:val="000000" w:themeColor="text1"/>
          <w:sz w:val="32"/>
          <w:szCs w:val="32"/>
        </w:rPr>
        <w:t>监管单位应按照下列内容，开展设施运营的社会效应监管工作，扩大设施在社会层面的正面影响力。</w:t>
      </w:r>
    </w:p>
    <w:p>
      <w:pPr>
        <w:widowControl/>
        <w:numPr>
          <w:ilvl w:val="0"/>
          <w:numId w:val="1"/>
        </w:numPr>
        <w:adjustRightInd w:val="0"/>
        <w:snapToGrid w:val="0"/>
        <w:spacing w:line="560" w:lineRule="exact"/>
        <w:ind w:firstLine="640"/>
        <w:rPr>
          <w:rFonts w:ascii="仿宋" w:hAnsi="仿宋" w:eastAsia="仿宋"/>
          <w:sz w:val="32"/>
          <w:szCs w:val="32"/>
        </w:rPr>
      </w:pPr>
      <w:r>
        <w:rPr>
          <w:rFonts w:hint="eastAsia" w:ascii="仿宋" w:hAnsi="仿宋" w:eastAsia="仿宋"/>
          <w:sz w:val="32"/>
          <w:szCs w:val="32"/>
        </w:rPr>
        <w:t>督促运营单位在设施入口处醒目位置设置公众显示屏，显示设施运营情况。按照国家及本市要求公示的污染物项目，督促设施及时公布公示，确保公示项目数据真实有效。</w:t>
      </w:r>
    </w:p>
    <w:p>
      <w:pPr>
        <w:widowControl/>
        <w:numPr>
          <w:ilvl w:val="0"/>
          <w:numId w:val="1"/>
        </w:numPr>
        <w:adjustRightInd w:val="0"/>
        <w:snapToGrid w:val="0"/>
        <w:spacing w:line="560" w:lineRule="exact"/>
        <w:ind w:firstLine="640"/>
        <w:rPr>
          <w:rFonts w:ascii="仿宋" w:hAnsi="仿宋" w:eastAsia="仿宋"/>
          <w:sz w:val="32"/>
          <w:szCs w:val="32"/>
        </w:rPr>
      </w:pPr>
      <w:r>
        <w:rPr>
          <w:rFonts w:hint="eastAsia" w:ascii="仿宋" w:hAnsi="仿宋" w:eastAsia="仿宋" w:cstheme="majorBidi"/>
          <w:sz w:val="32"/>
          <w:szCs w:val="32"/>
        </w:rPr>
        <w:t>督促运营单位制定并落实公众开放制度，</w:t>
      </w:r>
      <w:r>
        <w:rPr>
          <w:rFonts w:hint="eastAsia" w:ascii="仿宋" w:hAnsi="仿宋" w:eastAsia="仿宋"/>
          <w:sz w:val="32"/>
          <w:szCs w:val="32"/>
        </w:rPr>
        <w:t>定期向公众开放，接受公众参观，确保公众开放频次、效果达到要求。</w:t>
      </w:r>
    </w:p>
    <w:p>
      <w:pPr>
        <w:widowControl/>
        <w:numPr>
          <w:ilvl w:val="0"/>
          <w:numId w:val="1"/>
        </w:numPr>
        <w:adjustRightInd w:val="0"/>
        <w:snapToGrid w:val="0"/>
        <w:spacing w:line="560" w:lineRule="exact"/>
        <w:ind w:firstLine="640"/>
        <w:rPr>
          <w:rFonts w:ascii="仿宋" w:hAnsi="仿宋" w:eastAsia="仿宋"/>
          <w:sz w:val="32"/>
          <w:szCs w:val="32"/>
        </w:rPr>
      </w:pPr>
      <w:r>
        <w:rPr>
          <w:rFonts w:hint="eastAsia" w:ascii="仿宋" w:hAnsi="仿宋" w:eastAsia="仿宋"/>
          <w:sz w:val="32"/>
          <w:szCs w:val="32"/>
        </w:rPr>
        <w:t>督促运营单位编制安全生产规章制度和操作规程，并严格执行落实。积极有效应对安全生产突发事件，及时报告并配合监管单位调查。</w:t>
      </w:r>
    </w:p>
    <w:p>
      <w:pPr>
        <w:snapToGrid w:val="0"/>
        <w:spacing w:line="560" w:lineRule="exact"/>
        <w:ind w:firstLine="640" w:firstLineChars="200"/>
        <w:rPr>
          <w:rFonts w:ascii="仿宋" w:hAnsi="仿宋" w:eastAsia="仿宋"/>
          <w:sz w:val="32"/>
          <w:szCs w:val="32"/>
        </w:rPr>
      </w:pPr>
      <w:r>
        <w:rPr>
          <w:rFonts w:hint="eastAsia" w:ascii="仿宋" w:hAnsi="仿宋" w:eastAsia="仿宋" w:cstheme="majorBidi"/>
          <w:sz w:val="32"/>
          <w:szCs w:val="32"/>
        </w:rPr>
        <w:t>（四）督促运营单位制定并落实</w:t>
      </w:r>
      <w:r>
        <w:rPr>
          <w:rFonts w:hint="eastAsia" w:ascii="仿宋" w:hAnsi="仿宋" w:eastAsia="仿宋"/>
          <w:sz w:val="32"/>
          <w:szCs w:val="32"/>
        </w:rPr>
        <w:t>规范化、标准化的</w:t>
      </w:r>
      <w:r>
        <w:rPr>
          <w:rFonts w:hint="eastAsia" w:ascii="仿宋" w:hAnsi="仿宋" w:eastAsia="仿宋" w:cstheme="majorBidi"/>
          <w:sz w:val="32"/>
          <w:szCs w:val="32"/>
        </w:rPr>
        <w:t>投诉信访处理制度，按制度</w:t>
      </w:r>
      <w:r>
        <w:rPr>
          <w:rFonts w:hint="eastAsia" w:ascii="仿宋" w:hAnsi="仿宋" w:eastAsia="仿宋"/>
          <w:sz w:val="32"/>
          <w:szCs w:val="32"/>
        </w:rPr>
        <w:t>及时妥善处理涉及本设施的投诉信访举报件，保证投诉信访处理质量和效率。</w:t>
      </w:r>
    </w:p>
    <w:p>
      <w:pPr>
        <w:pStyle w:val="3"/>
        <w:spacing w:before="0" w:after="0" w:line="560" w:lineRule="exact"/>
        <w:ind w:firstLine="707" w:firstLineChars="220"/>
      </w:pPr>
      <w:r>
        <w:rPr>
          <w:rFonts w:hint="eastAsia"/>
        </w:rPr>
        <w:t>第十二条（监管和管理评价）</w:t>
      </w:r>
    </w:p>
    <w:p>
      <w:pPr>
        <w:spacing w:line="560" w:lineRule="exact"/>
        <w:ind w:firstLine="645"/>
        <w:rPr>
          <w:rFonts w:ascii="仿宋" w:hAnsi="仿宋" w:eastAsia="仿宋"/>
          <w:sz w:val="32"/>
          <w:szCs w:val="32"/>
        </w:rPr>
      </w:pPr>
      <w:r>
        <w:rPr>
          <w:rFonts w:hint="eastAsia" w:ascii="仿宋" w:hAnsi="仿宋" w:eastAsia="仿宋"/>
          <w:sz w:val="32"/>
          <w:szCs w:val="32"/>
        </w:rPr>
        <w:t>各监管单位按照管辖分工，对于各自管辖范围内的转运、处置设施运营情况，应每半年出具监管报告。城投集团对老港基地内设施管理情况，每半年出具管理报告。</w:t>
      </w:r>
    </w:p>
    <w:p>
      <w:pPr>
        <w:spacing w:line="560" w:lineRule="exact"/>
        <w:ind w:firstLine="645"/>
        <w:rPr>
          <w:rFonts w:ascii="仿宋" w:hAnsi="仿宋" w:eastAsia="仿宋"/>
          <w:sz w:val="32"/>
          <w:szCs w:val="32"/>
        </w:rPr>
      </w:pPr>
      <w:r>
        <w:rPr>
          <w:rFonts w:hint="eastAsia" w:ascii="仿宋" w:hAnsi="仿宋" w:eastAsia="仿宋"/>
          <w:sz w:val="32"/>
          <w:szCs w:val="32"/>
        </w:rPr>
        <w:t>市绿化市容局对于各区绿化市容局、城投集团的监管和管理工作，应每年进行评议。</w:t>
      </w:r>
    </w:p>
    <w:p>
      <w:pPr>
        <w:pStyle w:val="3"/>
        <w:spacing w:before="0" w:after="0" w:line="560" w:lineRule="exact"/>
        <w:ind w:firstLine="707" w:firstLineChars="220"/>
      </w:pPr>
      <w:r>
        <w:rPr>
          <w:rFonts w:hint="eastAsia"/>
        </w:rPr>
        <w:t>第十三条（监管人员的管理）</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监管单位应按照下列要求，做好监管人员的日常管理工作。</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cs="宋体"/>
          <w:kern w:val="0"/>
          <w:sz w:val="32"/>
          <w:szCs w:val="32"/>
        </w:rPr>
        <w:t>（</w:t>
      </w:r>
      <w:r>
        <w:rPr>
          <w:rFonts w:hint="eastAsia" w:ascii="仿宋" w:hAnsi="仿宋" w:eastAsia="仿宋"/>
          <w:sz w:val="32"/>
          <w:szCs w:val="32"/>
        </w:rPr>
        <w:t>一）监管人员应参加市绿化市容局组织的生活垃圾转运、处置设施运营监管培训，经培训后放可开展监管工作；</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（二）监管人员应出示检查证件，注重仪容仪表，使用文明用语，按照本办法规定的权限和程序履行职责；</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（三）监管人员不得擅自向外界和被检查单位透露未经公开的评价结果，尊重和保护被检查单位陈述、申辩等合法权利，保守被检查单位秘密；</w:t>
      </w:r>
    </w:p>
    <w:p>
      <w:pPr>
        <w:adjustRightInd w:val="0"/>
        <w:snapToGrid w:val="0"/>
        <w:spacing w:line="560" w:lineRule="exact"/>
        <w:ind w:firstLine="707" w:firstLineChars="221"/>
      </w:pPr>
      <w:r>
        <w:rPr>
          <w:rFonts w:hint="eastAsia" w:ascii="仿宋" w:hAnsi="仿宋" w:eastAsia="仿宋"/>
          <w:sz w:val="32"/>
          <w:szCs w:val="32"/>
        </w:rPr>
        <w:t>（四）监管人员应当定期轮岗；</w:t>
      </w:r>
    </w:p>
    <w:p>
      <w:pPr>
        <w:spacing w:line="560" w:lineRule="exact"/>
        <w:ind w:firstLine="707" w:firstLineChars="221"/>
        <w:rPr>
          <w:rFonts w:ascii="仿宋" w:hAnsi="仿宋" w:eastAsia="仿宋"/>
          <w:sz w:val="32"/>
          <w:szCs w:val="32"/>
        </w:rPr>
      </w:pPr>
      <w:r>
        <w:rPr>
          <w:rFonts w:hint="eastAsia" w:ascii="仿宋" w:hAnsi="仿宋" w:eastAsia="仿宋"/>
          <w:sz w:val="32"/>
          <w:szCs w:val="32"/>
        </w:rPr>
        <w:t>（五）监管人员有监管不力、滥用职权、徇私舞弊、索贿受贿等情况的，由其所在单位或者上级主管部门依法追究行政责任；构成犯罪的，依法追究刑事责任。</w:t>
      </w:r>
    </w:p>
    <w:p>
      <w:pPr>
        <w:pStyle w:val="3"/>
        <w:spacing w:before="0" w:after="0" w:line="560" w:lineRule="exact"/>
        <w:ind w:firstLine="707" w:firstLineChars="220"/>
      </w:pPr>
      <w:r>
        <w:rPr>
          <w:rFonts w:hint="eastAsia"/>
        </w:rPr>
        <w:t>第十四条（参照管理）</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本市餐厨废弃油脂的转运（分拣）、处置设施的计量管理和运营监管参照本办法实施。</w:t>
      </w:r>
    </w:p>
    <w:p>
      <w:pPr>
        <w:pStyle w:val="3"/>
        <w:spacing w:before="0" w:after="0" w:line="560" w:lineRule="exact"/>
        <w:ind w:firstLine="707" w:firstLineChars="220"/>
      </w:pPr>
      <w:r>
        <w:rPr>
          <w:rFonts w:hint="eastAsia"/>
        </w:rPr>
        <w:t>第十五条（实施时间）</w:t>
      </w:r>
    </w:p>
    <w:p>
      <w:pPr>
        <w:snapToGrid w:val="0"/>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本办法自</w:t>
      </w:r>
      <w:r>
        <w:rPr>
          <w:rFonts w:ascii="仿宋" w:hAnsi="仿宋" w:eastAsia="仿宋"/>
          <w:color w:val="000000" w:themeColor="text1"/>
          <w:sz w:val="32"/>
          <w:szCs w:val="32"/>
        </w:rPr>
        <w:t>2021年1月1日起施行。</w:t>
      </w:r>
    </w:p>
    <w:p>
      <w:pPr>
        <w:snapToGrid w:val="0"/>
        <w:spacing w:line="560" w:lineRule="exact"/>
        <w:ind w:firstLine="640" w:firstLineChars="200"/>
        <w:rPr>
          <w:rFonts w:ascii="仿宋" w:hAnsi="仿宋" w:eastAsia="仿宋"/>
          <w:sz w:val="32"/>
          <w:szCs w:val="32"/>
        </w:rPr>
      </w:pPr>
    </w:p>
    <w:sectPr>
      <w:pgSz w:w="11906" w:h="16838"/>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6191"/>
    <w:multiLevelType w:val="singleLevel"/>
    <w:tmpl w:val="16BA619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34"/>
    <w:rsid w:val="00003ED0"/>
    <w:rsid w:val="00005C03"/>
    <w:rsid w:val="000103D4"/>
    <w:rsid w:val="00012221"/>
    <w:rsid w:val="0001416E"/>
    <w:rsid w:val="00014942"/>
    <w:rsid w:val="00017315"/>
    <w:rsid w:val="000201CA"/>
    <w:rsid w:val="000226EB"/>
    <w:rsid w:val="00024674"/>
    <w:rsid w:val="00026925"/>
    <w:rsid w:val="00031213"/>
    <w:rsid w:val="00031AE8"/>
    <w:rsid w:val="0003375D"/>
    <w:rsid w:val="000432C8"/>
    <w:rsid w:val="00047262"/>
    <w:rsid w:val="000500AC"/>
    <w:rsid w:val="000530F0"/>
    <w:rsid w:val="000537FC"/>
    <w:rsid w:val="0005538E"/>
    <w:rsid w:val="00060BF9"/>
    <w:rsid w:val="000615CD"/>
    <w:rsid w:val="00062EA5"/>
    <w:rsid w:val="000635E7"/>
    <w:rsid w:val="00065DD2"/>
    <w:rsid w:val="000713A9"/>
    <w:rsid w:val="00071419"/>
    <w:rsid w:val="00071971"/>
    <w:rsid w:val="000734B6"/>
    <w:rsid w:val="0007359B"/>
    <w:rsid w:val="00075EE7"/>
    <w:rsid w:val="00083145"/>
    <w:rsid w:val="00091A85"/>
    <w:rsid w:val="00091E8D"/>
    <w:rsid w:val="00093FE8"/>
    <w:rsid w:val="00094E57"/>
    <w:rsid w:val="000955B5"/>
    <w:rsid w:val="00096156"/>
    <w:rsid w:val="000A00A3"/>
    <w:rsid w:val="000A466B"/>
    <w:rsid w:val="000B13AD"/>
    <w:rsid w:val="000B2F43"/>
    <w:rsid w:val="000B552C"/>
    <w:rsid w:val="000B76FA"/>
    <w:rsid w:val="000C575D"/>
    <w:rsid w:val="000D34E4"/>
    <w:rsid w:val="000D6649"/>
    <w:rsid w:val="000D7508"/>
    <w:rsid w:val="000E3081"/>
    <w:rsid w:val="000E7E21"/>
    <w:rsid w:val="000F01D6"/>
    <w:rsid w:val="000F2D0E"/>
    <w:rsid w:val="000F5ADF"/>
    <w:rsid w:val="00104DE3"/>
    <w:rsid w:val="001067C4"/>
    <w:rsid w:val="0010780D"/>
    <w:rsid w:val="00110BFC"/>
    <w:rsid w:val="0011303D"/>
    <w:rsid w:val="00121C61"/>
    <w:rsid w:val="0012247B"/>
    <w:rsid w:val="001226B9"/>
    <w:rsid w:val="00125488"/>
    <w:rsid w:val="001256A8"/>
    <w:rsid w:val="00125881"/>
    <w:rsid w:val="0013470D"/>
    <w:rsid w:val="0014487D"/>
    <w:rsid w:val="00155A17"/>
    <w:rsid w:val="00165AEE"/>
    <w:rsid w:val="00166B9D"/>
    <w:rsid w:val="00167587"/>
    <w:rsid w:val="00167EB5"/>
    <w:rsid w:val="0017085E"/>
    <w:rsid w:val="00171169"/>
    <w:rsid w:val="00171912"/>
    <w:rsid w:val="001A0D84"/>
    <w:rsid w:val="001A1F9B"/>
    <w:rsid w:val="001C2280"/>
    <w:rsid w:val="001C4108"/>
    <w:rsid w:val="001C456E"/>
    <w:rsid w:val="001C4A7B"/>
    <w:rsid w:val="001D035C"/>
    <w:rsid w:val="001D37B7"/>
    <w:rsid w:val="001E1134"/>
    <w:rsid w:val="001E1436"/>
    <w:rsid w:val="001E3AE0"/>
    <w:rsid w:val="001E4993"/>
    <w:rsid w:val="001E4AF7"/>
    <w:rsid w:val="001F11E2"/>
    <w:rsid w:val="001F38D8"/>
    <w:rsid w:val="00207E1A"/>
    <w:rsid w:val="00213624"/>
    <w:rsid w:val="00215B10"/>
    <w:rsid w:val="00217783"/>
    <w:rsid w:val="00224C97"/>
    <w:rsid w:val="00224DF8"/>
    <w:rsid w:val="002253A7"/>
    <w:rsid w:val="002313F2"/>
    <w:rsid w:val="00240E7F"/>
    <w:rsid w:val="00246E51"/>
    <w:rsid w:val="00250818"/>
    <w:rsid w:val="00257E05"/>
    <w:rsid w:val="00260C48"/>
    <w:rsid w:val="00265E46"/>
    <w:rsid w:val="0027230F"/>
    <w:rsid w:val="002754BF"/>
    <w:rsid w:val="00276E47"/>
    <w:rsid w:val="0028239D"/>
    <w:rsid w:val="0029591B"/>
    <w:rsid w:val="002967CC"/>
    <w:rsid w:val="002A22D2"/>
    <w:rsid w:val="002B3390"/>
    <w:rsid w:val="002B5099"/>
    <w:rsid w:val="002B547B"/>
    <w:rsid w:val="002C1629"/>
    <w:rsid w:val="002D4E03"/>
    <w:rsid w:val="002E4522"/>
    <w:rsid w:val="002F48AE"/>
    <w:rsid w:val="002F6C43"/>
    <w:rsid w:val="003058E2"/>
    <w:rsid w:val="00307312"/>
    <w:rsid w:val="0031030C"/>
    <w:rsid w:val="00310F62"/>
    <w:rsid w:val="0031157D"/>
    <w:rsid w:val="003176B7"/>
    <w:rsid w:val="00321549"/>
    <w:rsid w:val="00327421"/>
    <w:rsid w:val="00327B0A"/>
    <w:rsid w:val="00327F74"/>
    <w:rsid w:val="00330818"/>
    <w:rsid w:val="00332EEE"/>
    <w:rsid w:val="003344F4"/>
    <w:rsid w:val="00334C3C"/>
    <w:rsid w:val="0033767C"/>
    <w:rsid w:val="00343296"/>
    <w:rsid w:val="00344334"/>
    <w:rsid w:val="0034488B"/>
    <w:rsid w:val="003470EA"/>
    <w:rsid w:val="00351FA6"/>
    <w:rsid w:val="003559E6"/>
    <w:rsid w:val="00361217"/>
    <w:rsid w:val="00362784"/>
    <w:rsid w:val="00366A75"/>
    <w:rsid w:val="003768DF"/>
    <w:rsid w:val="0038052B"/>
    <w:rsid w:val="0038167C"/>
    <w:rsid w:val="00382AED"/>
    <w:rsid w:val="00393CC2"/>
    <w:rsid w:val="003A1532"/>
    <w:rsid w:val="003A62FF"/>
    <w:rsid w:val="003B20D4"/>
    <w:rsid w:val="003C2A2E"/>
    <w:rsid w:val="003C31F9"/>
    <w:rsid w:val="003D068E"/>
    <w:rsid w:val="003D5E7E"/>
    <w:rsid w:val="003E1495"/>
    <w:rsid w:val="003E4E49"/>
    <w:rsid w:val="003E7021"/>
    <w:rsid w:val="003F3466"/>
    <w:rsid w:val="003F36ED"/>
    <w:rsid w:val="003F59BF"/>
    <w:rsid w:val="003F5D21"/>
    <w:rsid w:val="003F69F2"/>
    <w:rsid w:val="004034CE"/>
    <w:rsid w:val="004051C0"/>
    <w:rsid w:val="004076F4"/>
    <w:rsid w:val="00407843"/>
    <w:rsid w:val="00407A8B"/>
    <w:rsid w:val="004117FA"/>
    <w:rsid w:val="00415AAB"/>
    <w:rsid w:val="004179E7"/>
    <w:rsid w:val="004204ED"/>
    <w:rsid w:val="00423293"/>
    <w:rsid w:val="00426AC9"/>
    <w:rsid w:val="00431BB0"/>
    <w:rsid w:val="004338AC"/>
    <w:rsid w:val="00437160"/>
    <w:rsid w:val="0045277B"/>
    <w:rsid w:val="0046142F"/>
    <w:rsid w:val="0047581B"/>
    <w:rsid w:val="00476A1E"/>
    <w:rsid w:val="00476ED1"/>
    <w:rsid w:val="004809B1"/>
    <w:rsid w:val="0048169F"/>
    <w:rsid w:val="00482392"/>
    <w:rsid w:val="004854F8"/>
    <w:rsid w:val="00492413"/>
    <w:rsid w:val="00496B34"/>
    <w:rsid w:val="004A176A"/>
    <w:rsid w:val="004A5794"/>
    <w:rsid w:val="004A7EB0"/>
    <w:rsid w:val="004B7C47"/>
    <w:rsid w:val="004C1F69"/>
    <w:rsid w:val="004D228C"/>
    <w:rsid w:val="004D57A4"/>
    <w:rsid w:val="004D60D2"/>
    <w:rsid w:val="004E00CA"/>
    <w:rsid w:val="004E0321"/>
    <w:rsid w:val="004E0837"/>
    <w:rsid w:val="004E1025"/>
    <w:rsid w:val="004E350F"/>
    <w:rsid w:val="004E4431"/>
    <w:rsid w:val="004E4BED"/>
    <w:rsid w:val="004E63E2"/>
    <w:rsid w:val="004E6B33"/>
    <w:rsid w:val="004F0A7B"/>
    <w:rsid w:val="005031AA"/>
    <w:rsid w:val="00505634"/>
    <w:rsid w:val="00506374"/>
    <w:rsid w:val="00510AB4"/>
    <w:rsid w:val="00512A4C"/>
    <w:rsid w:val="005209BD"/>
    <w:rsid w:val="00520E25"/>
    <w:rsid w:val="00526709"/>
    <w:rsid w:val="00526B2E"/>
    <w:rsid w:val="00532933"/>
    <w:rsid w:val="0053686F"/>
    <w:rsid w:val="00537616"/>
    <w:rsid w:val="00540CD8"/>
    <w:rsid w:val="00543893"/>
    <w:rsid w:val="005442DA"/>
    <w:rsid w:val="00544C58"/>
    <w:rsid w:val="00550A25"/>
    <w:rsid w:val="00556B21"/>
    <w:rsid w:val="005606EC"/>
    <w:rsid w:val="0056652E"/>
    <w:rsid w:val="00567C1B"/>
    <w:rsid w:val="00571150"/>
    <w:rsid w:val="005719CD"/>
    <w:rsid w:val="005836F1"/>
    <w:rsid w:val="0058452C"/>
    <w:rsid w:val="00590794"/>
    <w:rsid w:val="005A626C"/>
    <w:rsid w:val="005B62E5"/>
    <w:rsid w:val="005B674F"/>
    <w:rsid w:val="005C07C1"/>
    <w:rsid w:val="005C686D"/>
    <w:rsid w:val="005D2065"/>
    <w:rsid w:val="005D3DA6"/>
    <w:rsid w:val="005D59FD"/>
    <w:rsid w:val="005D5EE0"/>
    <w:rsid w:val="005D715D"/>
    <w:rsid w:val="005D7D1F"/>
    <w:rsid w:val="005F3FB7"/>
    <w:rsid w:val="005F4647"/>
    <w:rsid w:val="005F49FC"/>
    <w:rsid w:val="00607C75"/>
    <w:rsid w:val="00610816"/>
    <w:rsid w:val="0061679B"/>
    <w:rsid w:val="00624F08"/>
    <w:rsid w:val="00625E07"/>
    <w:rsid w:val="006320A4"/>
    <w:rsid w:val="00637107"/>
    <w:rsid w:val="006374FC"/>
    <w:rsid w:val="006404D9"/>
    <w:rsid w:val="00640769"/>
    <w:rsid w:val="00647AF4"/>
    <w:rsid w:val="00662A9A"/>
    <w:rsid w:val="0067643C"/>
    <w:rsid w:val="00681CD7"/>
    <w:rsid w:val="0068291E"/>
    <w:rsid w:val="00685CED"/>
    <w:rsid w:val="006868FE"/>
    <w:rsid w:val="00687D4D"/>
    <w:rsid w:val="006931A7"/>
    <w:rsid w:val="006A05C4"/>
    <w:rsid w:val="006A3BBA"/>
    <w:rsid w:val="006B1B79"/>
    <w:rsid w:val="006B2DC4"/>
    <w:rsid w:val="006B7BBF"/>
    <w:rsid w:val="006D1F3B"/>
    <w:rsid w:val="006D356F"/>
    <w:rsid w:val="006E43E5"/>
    <w:rsid w:val="006F3631"/>
    <w:rsid w:val="006F444D"/>
    <w:rsid w:val="006F6D67"/>
    <w:rsid w:val="00701C64"/>
    <w:rsid w:val="0070506F"/>
    <w:rsid w:val="007135B4"/>
    <w:rsid w:val="00713978"/>
    <w:rsid w:val="00714FFA"/>
    <w:rsid w:val="00715876"/>
    <w:rsid w:val="00715FC7"/>
    <w:rsid w:val="00720FE4"/>
    <w:rsid w:val="0072192F"/>
    <w:rsid w:val="007225E9"/>
    <w:rsid w:val="00722C2B"/>
    <w:rsid w:val="00723E54"/>
    <w:rsid w:val="0072675A"/>
    <w:rsid w:val="00727B23"/>
    <w:rsid w:val="007322BE"/>
    <w:rsid w:val="00741212"/>
    <w:rsid w:val="00741615"/>
    <w:rsid w:val="00742840"/>
    <w:rsid w:val="00745CE9"/>
    <w:rsid w:val="00750CD2"/>
    <w:rsid w:val="00752473"/>
    <w:rsid w:val="00760880"/>
    <w:rsid w:val="0076268A"/>
    <w:rsid w:val="00763E9A"/>
    <w:rsid w:val="007747CE"/>
    <w:rsid w:val="00781CD8"/>
    <w:rsid w:val="00785763"/>
    <w:rsid w:val="00792C74"/>
    <w:rsid w:val="007A2410"/>
    <w:rsid w:val="007B02E5"/>
    <w:rsid w:val="007B11B3"/>
    <w:rsid w:val="007B42AC"/>
    <w:rsid w:val="007B5EE0"/>
    <w:rsid w:val="007C26E5"/>
    <w:rsid w:val="007C381A"/>
    <w:rsid w:val="007C39A9"/>
    <w:rsid w:val="007C6DEE"/>
    <w:rsid w:val="007D1025"/>
    <w:rsid w:val="007D27B8"/>
    <w:rsid w:val="007D3086"/>
    <w:rsid w:val="007F0DD1"/>
    <w:rsid w:val="007F33B0"/>
    <w:rsid w:val="007F61B9"/>
    <w:rsid w:val="00801845"/>
    <w:rsid w:val="0080768A"/>
    <w:rsid w:val="00807EF0"/>
    <w:rsid w:val="0081173E"/>
    <w:rsid w:val="0081265B"/>
    <w:rsid w:val="00813E36"/>
    <w:rsid w:val="00815254"/>
    <w:rsid w:val="008155DC"/>
    <w:rsid w:val="00815F46"/>
    <w:rsid w:val="0081632D"/>
    <w:rsid w:val="008218EA"/>
    <w:rsid w:val="00833876"/>
    <w:rsid w:val="0084182A"/>
    <w:rsid w:val="00841E34"/>
    <w:rsid w:val="00843AEB"/>
    <w:rsid w:val="008510B5"/>
    <w:rsid w:val="008622D9"/>
    <w:rsid w:val="00862A86"/>
    <w:rsid w:val="00862AB1"/>
    <w:rsid w:val="00863F6E"/>
    <w:rsid w:val="00871764"/>
    <w:rsid w:val="00873C0F"/>
    <w:rsid w:val="0087512F"/>
    <w:rsid w:val="00877333"/>
    <w:rsid w:val="00885389"/>
    <w:rsid w:val="00886070"/>
    <w:rsid w:val="008902D1"/>
    <w:rsid w:val="008B558B"/>
    <w:rsid w:val="008B6C1C"/>
    <w:rsid w:val="008B6EBE"/>
    <w:rsid w:val="008B7337"/>
    <w:rsid w:val="008C05AA"/>
    <w:rsid w:val="008C0B86"/>
    <w:rsid w:val="008C63B2"/>
    <w:rsid w:val="008D0C2D"/>
    <w:rsid w:val="008D3748"/>
    <w:rsid w:val="008D40C4"/>
    <w:rsid w:val="008E1260"/>
    <w:rsid w:val="008F300A"/>
    <w:rsid w:val="008F52E9"/>
    <w:rsid w:val="008F6020"/>
    <w:rsid w:val="008F6517"/>
    <w:rsid w:val="008F68B4"/>
    <w:rsid w:val="00911EAE"/>
    <w:rsid w:val="009139F8"/>
    <w:rsid w:val="009141C8"/>
    <w:rsid w:val="009144A9"/>
    <w:rsid w:val="00915A31"/>
    <w:rsid w:val="00916664"/>
    <w:rsid w:val="0092109E"/>
    <w:rsid w:val="00925382"/>
    <w:rsid w:val="009277A7"/>
    <w:rsid w:val="00930516"/>
    <w:rsid w:val="00931C75"/>
    <w:rsid w:val="00951696"/>
    <w:rsid w:val="00954520"/>
    <w:rsid w:val="00954F0B"/>
    <w:rsid w:val="00964709"/>
    <w:rsid w:val="00966D65"/>
    <w:rsid w:val="00966F20"/>
    <w:rsid w:val="0097474A"/>
    <w:rsid w:val="00975911"/>
    <w:rsid w:val="009828E5"/>
    <w:rsid w:val="00990073"/>
    <w:rsid w:val="0099692C"/>
    <w:rsid w:val="009A1D89"/>
    <w:rsid w:val="009A462E"/>
    <w:rsid w:val="009A4A5F"/>
    <w:rsid w:val="009A5E1D"/>
    <w:rsid w:val="009A7122"/>
    <w:rsid w:val="009B0803"/>
    <w:rsid w:val="009B18D1"/>
    <w:rsid w:val="009B23BD"/>
    <w:rsid w:val="009B2944"/>
    <w:rsid w:val="009B36FB"/>
    <w:rsid w:val="009B3BC8"/>
    <w:rsid w:val="009B4069"/>
    <w:rsid w:val="009B5A21"/>
    <w:rsid w:val="009C0B58"/>
    <w:rsid w:val="009C14A2"/>
    <w:rsid w:val="009C377A"/>
    <w:rsid w:val="009C4575"/>
    <w:rsid w:val="009D3DED"/>
    <w:rsid w:val="009D5A45"/>
    <w:rsid w:val="009E6929"/>
    <w:rsid w:val="009F3A9D"/>
    <w:rsid w:val="009F3CA8"/>
    <w:rsid w:val="009F3DCC"/>
    <w:rsid w:val="009F52C3"/>
    <w:rsid w:val="00A01B6C"/>
    <w:rsid w:val="00A03F2E"/>
    <w:rsid w:val="00A05D23"/>
    <w:rsid w:val="00A10660"/>
    <w:rsid w:val="00A1496E"/>
    <w:rsid w:val="00A14C04"/>
    <w:rsid w:val="00A14D5E"/>
    <w:rsid w:val="00A156A6"/>
    <w:rsid w:val="00A15C7E"/>
    <w:rsid w:val="00A30663"/>
    <w:rsid w:val="00A50A5C"/>
    <w:rsid w:val="00A6404E"/>
    <w:rsid w:val="00A651AE"/>
    <w:rsid w:val="00A67AFE"/>
    <w:rsid w:val="00A73843"/>
    <w:rsid w:val="00A73A9D"/>
    <w:rsid w:val="00A74B91"/>
    <w:rsid w:val="00A7513C"/>
    <w:rsid w:val="00A76EA8"/>
    <w:rsid w:val="00A772F0"/>
    <w:rsid w:val="00A93DC6"/>
    <w:rsid w:val="00AA7501"/>
    <w:rsid w:val="00AB0686"/>
    <w:rsid w:val="00AB2F2A"/>
    <w:rsid w:val="00AB40A9"/>
    <w:rsid w:val="00AB7832"/>
    <w:rsid w:val="00AC7445"/>
    <w:rsid w:val="00AD2E69"/>
    <w:rsid w:val="00AE53A9"/>
    <w:rsid w:val="00AE7084"/>
    <w:rsid w:val="00AE7A27"/>
    <w:rsid w:val="00B0583D"/>
    <w:rsid w:val="00B05F05"/>
    <w:rsid w:val="00B10C3E"/>
    <w:rsid w:val="00B10D60"/>
    <w:rsid w:val="00B1217F"/>
    <w:rsid w:val="00B15AE8"/>
    <w:rsid w:val="00B255BA"/>
    <w:rsid w:val="00B274A8"/>
    <w:rsid w:val="00B27DBF"/>
    <w:rsid w:val="00B3041D"/>
    <w:rsid w:val="00B36D32"/>
    <w:rsid w:val="00B429C5"/>
    <w:rsid w:val="00B4615C"/>
    <w:rsid w:val="00B51FFD"/>
    <w:rsid w:val="00B6291C"/>
    <w:rsid w:val="00B630C6"/>
    <w:rsid w:val="00B71214"/>
    <w:rsid w:val="00B7132F"/>
    <w:rsid w:val="00B80359"/>
    <w:rsid w:val="00B805F5"/>
    <w:rsid w:val="00B82EB1"/>
    <w:rsid w:val="00B859BA"/>
    <w:rsid w:val="00B96CFE"/>
    <w:rsid w:val="00B97BAF"/>
    <w:rsid w:val="00BA4FD8"/>
    <w:rsid w:val="00BB02BA"/>
    <w:rsid w:val="00BB4340"/>
    <w:rsid w:val="00BB5A23"/>
    <w:rsid w:val="00BC19AE"/>
    <w:rsid w:val="00BC1D2D"/>
    <w:rsid w:val="00BC24A5"/>
    <w:rsid w:val="00BC7589"/>
    <w:rsid w:val="00BD20EC"/>
    <w:rsid w:val="00BD3541"/>
    <w:rsid w:val="00BD6D08"/>
    <w:rsid w:val="00BE1BE6"/>
    <w:rsid w:val="00BE1D34"/>
    <w:rsid w:val="00BE62B9"/>
    <w:rsid w:val="00BF205B"/>
    <w:rsid w:val="00BF463F"/>
    <w:rsid w:val="00BF504B"/>
    <w:rsid w:val="00C15077"/>
    <w:rsid w:val="00C31588"/>
    <w:rsid w:val="00C31C7E"/>
    <w:rsid w:val="00C31FB5"/>
    <w:rsid w:val="00C4110C"/>
    <w:rsid w:val="00C545BB"/>
    <w:rsid w:val="00C54C6D"/>
    <w:rsid w:val="00C67659"/>
    <w:rsid w:val="00C707C3"/>
    <w:rsid w:val="00C75C6E"/>
    <w:rsid w:val="00C80160"/>
    <w:rsid w:val="00C82BF4"/>
    <w:rsid w:val="00C83DDC"/>
    <w:rsid w:val="00C863A3"/>
    <w:rsid w:val="00C9061B"/>
    <w:rsid w:val="00C94064"/>
    <w:rsid w:val="00CA32F3"/>
    <w:rsid w:val="00CA774D"/>
    <w:rsid w:val="00CA78F3"/>
    <w:rsid w:val="00CB084E"/>
    <w:rsid w:val="00CB2D8B"/>
    <w:rsid w:val="00CB7881"/>
    <w:rsid w:val="00CC0FD8"/>
    <w:rsid w:val="00CC1310"/>
    <w:rsid w:val="00CC3332"/>
    <w:rsid w:val="00CC3AA3"/>
    <w:rsid w:val="00CC5E1E"/>
    <w:rsid w:val="00CC69BE"/>
    <w:rsid w:val="00CD3905"/>
    <w:rsid w:val="00CD402B"/>
    <w:rsid w:val="00CE0355"/>
    <w:rsid w:val="00CE2105"/>
    <w:rsid w:val="00CE2ED5"/>
    <w:rsid w:val="00CE5C23"/>
    <w:rsid w:val="00CF1586"/>
    <w:rsid w:val="00CF1E87"/>
    <w:rsid w:val="00D06EEE"/>
    <w:rsid w:val="00D134D0"/>
    <w:rsid w:val="00D15C46"/>
    <w:rsid w:val="00D209CB"/>
    <w:rsid w:val="00D258A6"/>
    <w:rsid w:val="00D35663"/>
    <w:rsid w:val="00D37F68"/>
    <w:rsid w:val="00D42787"/>
    <w:rsid w:val="00D456E7"/>
    <w:rsid w:val="00D52EBA"/>
    <w:rsid w:val="00D55162"/>
    <w:rsid w:val="00D560B6"/>
    <w:rsid w:val="00D56F9F"/>
    <w:rsid w:val="00D61C9F"/>
    <w:rsid w:val="00D64936"/>
    <w:rsid w:val="00D6548B"/>
    <w:rsid w:val="00D66691"/>
    <w:rsid w:val="00D72876"/>
    <w:rsid w:val="00D775FB"/>
    <w:rsid w:val="00D81DCC"/>
    <w:rsid w:val="00D84805"/>
    <w:rsid w:val="00D87508"/>
    <w:rsid w:val="00D9274F"/>
    <w:rsid w:val="00D940DA"/>
    <w:rsid w:val="00DA031F"/>
    <w:rsid w:val="00DA3731"/>
    <w:rsid w:val="00DC3CD3"/>
    <w:rsid w:val="00DC41C3"/>
    <w:rsid w:val="00DD0969"/>
    <w:rsid w:val="00DE2FFE"/>
    <w:rsid w:val="00DE3B26"/>
    <w:rsid w:val="00DE7417"/>
    <w:rsid w:val="00DF23F4"/>
    <w:rsid w:val="00DF2DD0"/>
    <w:rsid w:val="00DF34C6"/>
    <w:rsid w:val="00DF5160"/>
    <w:rsid w:val="00E03BD5"/>
    <w:rsid w:val="00E04C91"/>
    <w:rsid w:val="00E05458"/>
    <w:rsid w:val="00E05B5A"/>
    <w:rsid w:val="00E05F29"/>
    <w:rsid w:val="00E1198D"/>
    <w:rsid w:val="00E1613B"/>
    <w:rsid w:val="00E17A74"/>
    <w:rsid w:val="00E20E02"/>
    <w:rsid w:val="00E26BCA"/>
    <w:rsid w:val="00E27481"/>
    <w:rsid w:val="00E304B3"/>
    <w:rsid w:val="00E32CAC"/>
    <w:rsid w:val="00E34361"/>
    <w:rsid w:val="00E366FB"/>
    <w:rsid w:val="00E419B8"/>
    <w:rsid w:val="00E42CC8"/>
    <w:rsid w:val="00E51F74"/>
    <w:rsid w:val="00E56007"/>
    <w:rsid w:val="00E57F46"/>
    <w:rsid w:val="00E71A96"/>
    <w:rsid w:val="00E75080"/>
    <w:rsid w:val="00E76651"/>
    <w:rsid w:val="00E84642"/>
    <w:rsid w:val="00E87C6F"/>
    <w:rsid w:val="00E909BE"/>
    <w:rsid w:val="00E97F3A"/>
    <w:rsid w:val="00EA2421"/>
    <w:rsid w:val="00EA67D8"/>
    <w:rsid w:val="00EB0751"/>
    <w:rsid w:val="00EB418B"/>
    <w:rsid w:val="00EC634D"/>
    <w:rsid w:val="00ED13E4"/>
    <w:rsid w:val="00ED3FDC"/>
    <w:rsid w:val="00ED6ADC"/>
    <w:rsid w:val="00EE2EE0"/>
    <w:rsid w:val="00EF1821"/>
    <w:rsid w:val="00EF631F"/>
    <w:rsid w:val="00EF7639"/>
    <w:rsid w:val="00F00204"/>
    <w:rsid w:val="00F03F23"/>
    <w:rsid w:val="00F04CA6"/>
    <w:rsid w:val="00F1047C"/>
    <w:rsid w:val="00F11EAF"/>
    <w:rsid w:val="00F122ED"/>
    <w:rsid w:val="00F132B1"/>
    <w:rsid w:val="00F1343B"/>
    <w:rsid w:val="00F20FF0"/>
    <w:rsid w:val="00F236A2"/>
    <w:rsid w:val="00F2404B"/>
    <w:rsid w:val="00F2633D"/>
    <w:rsid w:val="00F3083D"/>
    <w:rsid w:val="00F30ECC"/>
    <w:rsid w:val="00F35A1B"/>
    <w:rsid w:val="00F37148"/>
    <w:rsid w:val="00F402F4"/>
    <w:rsid w:val="00F4039E"/>
    <w:rsid w:val="00F553C0"/>
    <w:rsid w:val="00F57C00"/>
    <w:rsid w:val="00F6776B"/>
    <w:rsid w:val="00F67E6B"/>
    <w:rsid w:val="00F75942"/>
    <w:rsid w:val="00F80921"/>
    <w:rsid w:val="00F925EB"/>
    <w:rsid w:val="00F9311B"/>
    <w:rsid w:val="00F93789"/>
    <w:rsid w:val="00F93D83"/>
    <w:rsid w:val="00F9535A"/>
    <w:rsid w:val="00F9564B"/>
    <w:rsid w:val="00F95CF6"/>
    <w:rsid w:val="00FA018A"/>
    <w:rsid w:val="00FA2670"/>
    <w:rsid w:val="00FA29B9"/>
    <w:rsid w:val="00FB015F"/>
    <w:rsid w:val="00FC1F14"/>
    <w:rsid w:val="00FC43AC"/>
    <w:rsid w:val="00FC522B"/>
    <w:rsid w:val="00FC64CD"/>
    <w:rsid w:val="00FC732A"/>
    <w:rsid w:val="00FD0482"/>
    <w:rsid w:val="00FD280A"/>
    <w:rsid w:val="00FE139D"/>
    <w:rsid w:val="00FE3411"/>
    <w:rsid w:val="00FE3C35"/>
    <w:rsid w:val="00FE6173"/>
    <w:rsid w:val="048B37DF"/>
    <w:rsid w:val="04D51CE7"/>
    <w:rsid w:val="05A57E7B"/>
    <w:rsid w:val="066E0EF5"/>
    <w:rsid w:val="069B667C"/>
    <w:rsid w:val="14A22356"/>
    <w:rsid w:val="15C75209"/>
    <w:rsid w:val="15FB28AA"/>
    <w:rsid w:val="1C280309"/>
    <w:rsid w:val="1CD7093C"/>
    <w:rsid w:val="1D3E0BBE"/>
    <w:rsid w:val="1F3C3F07"/>
    <w:rsid w:val="1FD01E41"/>
    <w:rsid w:val="201A6CB8"/>
    <w:rsid w:val="20265906"/>
    <w:rsid w:val="221356FE"/>
    <w:rsid w:val="22E356E8"/>
    <w:rsid w:val="23A7476E"/>
    <w:rsid w:val="23ED5F4C"/>
    <w:rsid w:val="245B0DFE"/>
    <w:rsid w:val="265B12EC"/>
    <w:rsid w:val="26A12019"/>
    <w:rsid w:val="27891BA3"/>
    <w:rsid w:val="28114134"/>
    <w:rsid w:val="282505F8"/>
    <w:rsid w:val="28492A85"/>
    <w:rsid w:val="2A547BE8"/>
    <w:rsid w:val="2A58271A"/>
    <w:rsid w:val="2A675D2D"/>
    <w:rsid w:val="2A7C11F1"/>
    <w:rsid w:val="2C1911F6"/>
    <w:rsid w:val="3CB66689"/>
    <w:rsid w:val="3D842F8E"/>
    <w:rsid w:val="3FB1259B"/>
    <w:rsid w:val="43AE1302"/>
    <w:rsid w:val="43E914E3"/>
    <w:rsid w:val="4544610D"/>
    <w:rsid w:val="46AB1476"/>
    <w:rsid w:val="4D967AD3"/>
    <w:rsid w:val="4EC768CB"/>
    <w:rsid w:val="521764E7"/>
    <w:rsid w:val="545A088C"/>
    <w:rsid w:val="56EA64BA"/>
    <w:rsid w:val="591D0B25"/>
    <w:rsid w:val="59505D1E"/>
    <w:rsid w:val="5A264976"/>
    <w:rsid w:val="5EA365EB"/>
    <w:rsid w:val="5EB50812"/>
    <w:rsid w:val="62760A70"/>
    <w:rsid w:val="62DE36B1"/>
    <w:rsid w:val="641E70AB"/>
    <w:rsid w:val="65145688"/>
    <w:rsid w:val="66845187"/>
    <w:rsid w:val="669C7062"/>
    <w:rsid w:val="67A857A4"/>
    <w:rsid w:val="6C402E63"/>
    <w:rsid w:val="6D476C19"/>
    <w:rsid w:val="71402D32"/>
    <w:rsid w:val="71CA6E74"/>
    <w:rsid w:val="72CA30E3"/>
    <w:rsid w:val="77BE775C"/>
    <w:rsid w:val="77F11A64"/>
    <w:rsid w:val="7A362775"/>
    <w:rsid w:val="7B2F0560"/>
    <w:rsid w:val="7CFB5250"/>
    <w:rsid w:val="7DD778B3"/>
    <w:rsid w:val="7FE142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7"/>
    <w:semiHidden/>
    <w:unhideWhenUsed/>
    <w:qFormat/>
    <w:uiPriority w:val="99"/>
    <w:rPr>
      <w:rFonts w:ascii="宋体" w:eastAsia="宋体"/>
      <w:sz w:val="18"/>
      <w:szCs w:val="18"/>
    </w:rPr>
  </w:style>
  <w:style w:type="paragraph" w:styleId="5">
    <w:name w:val="Body Text Indent"/>
    <w:basedOn w:val="1"/>
    <w:link w:val="14"/>
    <w:qFormat/>
    <w:uiPriority w:val="0"/>
    <w:pPr>
      <w:spacing w:line="360" w:lineRule="auto"/>
      <w:ind w:firstLine="480"/>
    </w:pPr>
    <w:rPr>
      <w:rFonts w:ascii="Times New Roman" w:hAnsi="Times New Roman" w:eastAsia="宋体" w:cs="Times New Roman"/>
      <w:sz w:val="24"/>
      <w:szCs w:val="24"/>
    </w:rPr>
  </w:style>
  <w:style w:type="paragraph" w:styleId="6">
    <w:name w:val="Balloon Text"/>
    <w:basedOn w:val="1"/>
    <w:link w:val="18"/>
    <w:semiHidden/>
    <w:unhideWhenUsed/>
    <w:qFormat/>
    <w:uiPriority w:val="99"/>
    <w:rPr>
      <w:sz w:val="18"/>
      <w:szCs w:val="18"/>
    </w:rPr>
  </w:style>
  <w:style w:type="paragraph" w:styleId="7">
    <w:name w:val="footer"/>
    <w:basedOn w:val="1"/>
    <w:link w:val="12"/>
    <w:unhideWhenUsed/>
    <w:qFormat/>
    <w:uiPriority w:val="99"/>
    <w:pPr>
      <w:tabs>
        <w:tab w:val="center" w:pos="4153"/>
        <w:tab w:val="right" w:pos="8306"/>
      </w:tabs>
      <w:snapToGrid w:val="0"/>
      <w:jc w:val="left"/>
    </w:pPr>
    <w:rPr>
      <w:sz w:val="18"/>
      <w:szCs w:val="18"/>
    </w:rPr>
  </w:style>
  <w:style w:type="paragraph" w:styleId="8">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页眉 字符"/>
    <w:basedOn w:val="10"/>
    <w:link w:val="8"/>
    <w:qFormat/>
    <w:uiPriority w:val="99"/>
    <w:rPr>
      <w:sz w:val="18"/>
      <w:szCs w:val="18"/>
    </w:rPr>
  </w:style>
  <w:style w:type="character" w:customStyle="1" w:styleId="12">
    <w:name w:val="页脚 字符"/>
    <w:basedOn w:val="10"/>
    <w:link w:val="7"/>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正文文本缩进 字符"/>
    <w:basedOn w:val="10"/>
    <w:link w:val="5"/>
    <w:qFormat/>
    <w:uiPriority w:val="0"/>
    <w:rPr>
      <w:rFonts w:ascii="Times New Roman" w:hAnsi="Times New Roman" w:eastAsia="宋体" w:cs="Times New Roman"/>
      <w:sz w:val="24"/>
      <w:szCs w:val="24"/>
    </w:rPr>
  </w:style>
  <w:style w:type="character" w:customStyle="1" w:styleId="15">
    <w:name w:val="标题 1 字符"/>
    <w:basedOn w:val="10"/>
    <w:link w:val="2"/>
    <w:qFormat/>
    <w:uiPriority w:val="9"/>
    <w:rPr>
      <w:b/>
      <w:bCs/>
      <w:kern w:val="44"/>
      <w:sz w:val="44"/>
      <w:szCs w:val="44"/>
    </w:rPr>
  </w:style>
  <w:style w:type="character" w:customStyle="1" w:styleId="16">
    <w:name w:val="标题 2 字符"/>
    <w:basedOn w:val="10"/>
    <w:link w:val="3"/>
    <w:qFormat/>
    <w:uiPriority w:val="9"/>
    <w:rPr>
      <w:rFonts w:asciiTheme="majorHAnsi" w:hAnsiTheme="majorHAnsi" w:eastAsiaTheme="majorEastAsia" w:cstheme="majorBidi"/>
      <w:b/>
      <w:bCs/>
      <w:kern w:val="2"/>
      <w:sz w:val="32"/>
      <w:szCs w:val="32"/>
    </w:rPr>
  </w:style>
  <w:style w:type="character" w:customStyle="1" w:styleId="17">
    <w:name w:val="文档结构图 字符"/>
    <w:basedOn w:val="10"/>
    <w:link w:val="4"/>
    <w:semiHidden/>
    <w:qFormat/>
    <w:uiPriority w:val="99"/>
    <w:rPr>
      <w:rFonts w:ascii="宋体" w:eastAsia="宋体"/>
      <w:kern w:val="2"/>
      <w:sz w:val="18"/>
      <w:szCs w:val="18"/>
    </w:rPr>
  </w:style>
  <w:style w:type="character" w:customStyle="1" w:styleId="18">
    <w:name w:val="批注框文本 字符"/>
    <w:basedOn w:val="10"/>
    <w:link w:val="6"/>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95EBD9-7CAF-44B1-840A-AA01D7E957E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624</Words>
  <Characters>3562</Characters>
  <Lines>29</Lines>
  <Paragraphs>8</Paragraphs>
  <TotalTime>52</TotalTime>
  <ScaleCrop>false</ScaleCrop>
  <LinksUpToDate>false</LinksUpToDate>
  <CharactersWithSpaces>4178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2020-09-30T03:38:00Z</dcterms:created>
  <dc:creator>Think</dc:creator>
  <cp:lastModifiedBy>王玥</cp:lastModifiedBy>
  <cp:lastPrinted>2020-09-23T02:21:00Z</cp:lastPrinted>
  <dcterms:modified xsi:type="dcterms:W3CDTF">2020-10-15T06:54:33Z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