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5813" w:rsidRDefault="00EB0B4C">
      <w:pPr>
        <w:pStyle w:val="affe"/>
        <w:widowControl w:val="0"/>
        <w:spacing w:line="360" w:lineRule="auto"/>
        <w:ind w:rightChars="471" w:right="989" w:firstLine="640"/>
        <w:rPr>
          <w:rFonts w:ascii="Times New Roman" w:cs="Times New Roman"/>
          <w:sz w:val="32"/>
          <w:szCs w:val="32"/>
        </w:rPr>
      </w:pPr>
      <w:r>
        <w:rPr>
          <w:rFonts w:ascii="Times New Roman" w:cs="Times New Roman" w:hint="eastAsia"/>
          <w:sz w:val="32"/>
          <w:szCs w:val="32"/>
        </w:rPr>
        <w:t>附件</w:t>
      </w:r>
      <w:r>
        <w:rPr>
          <w:rFonts w:ascii="Times New Roman" w:cs="Times New Roman" w:hint="eastAsia"/>
          <w:sz w:val="32"/>
          <w:szCs w:val="32"/>
        </w:rPr>
        <w:t>2</w:t>
      </w:r>
    </w:p>
    <w:p w:rsidR="00F65813" w:rsidRDefault="00EB0B4C">
      <w:pPr>
        <w:pStyle w:val="a3"/>
        <w:widowControl w:val="0"/>
        <w:numPr>
          <w:ilvl w:val="0"/>
          <w:numId w:val="0"/>
        </w:numPr>
        <w:spacing w:before="312" w:after="312"/>
        <w:jc w:val="center"/>
        <w:rPr>
          <w:rFonts w:ascii="华文中宋" w:eastAsia="华文中宋" w:hAnsi="华文中宋" w:cs="Times New Roman"/>
          <w:sz w:val="36"/>
          <w:szCs w:val="36"/>
        </w:rPr>
      </w:pPr>
      <w:bookmarkStart w:id="0" w:name="_Toc306119134"/>
      <w:bookmarkStart w:id="1" w:name="_Toc82425178"/>
      <w:bookmarkStart w:id="2" w:name="_Toc48571134"/>
      <w:bookmarkStart w:id="3" w:name="_Toc82424675"/>
      <w:bookmarkStart w:id="4" w:name="_Toc46216010"/>
      <w:bookmarkStart w:id="5" w:name="_Toc306118248"/>
      <w:bookmarkStart w:id="6" w:name="_Toc306118249"/>
      <w:bookmarkStart w:id="7" w:name="_Toc306119135"/>
      <w:r>
        <w:rPr>
          <w:rFonts w:ascii="华文中宋" w:eastAsia="华文中宋" w:hAnsi="华文中宋" w:cs="Times New Roman" w:hint="eastAsia"/>
          <w:sz w:val="36"/>
          <w:szCs w:val="36"/>
        </w:rPr>
        <w:t>上海市景观照明技术规范</w:t>
      </w:r>
      <w:bookmarkStart w:id="8" w:name="_GoBack"/>
      <w:bookmarkEnd w:id="8"/>
    </w:p>
    <w:p w:rsidR="00F65813" w:rsidRDefault="00EB0B4C">
      <w:pPr>
        <w:pStyle w:val="a3"/>
        <w:widowControl w:val="0"/>
        <w:numPr>
          <w:ilvl w:val="0"/>
          <w:numId w:val="0"/>
        </w:numPr>
        <w:spacing w:before="312" w:after="312"/>
        <w:jc w:val="center"/>
        <w:rPr>
          <w:rFonts w:ascii="Times New Roman" w:cs="Times New Roman"/>
          <w:sz w:val="28"/>
          <w:szCs w:val="28"/>
        </w:rPr>
      </w:pPr>
      <w:r>
        <w:rPr>
          <w:rFonts w:ascii="Times New Roman" w:cs="Times New Roman" w:hint="eastAsia"/>
          <w:sz w:val="28"/>
          <w:szCs w:val="28"/>
        </w:rPr>
        <w:t>(</w:t>
      </w:r>
      <w:r>
        <w:rPr>
          <w:rFonts w:ascii="Times New Roman" w:cs="Times New Roman" w:hint="eastAsia"/>
          <w:sz w:val="28"/>
          <w:szCs w:val="28"/>
        </w:rPr>
        <w:t>征求意见稿</w:t>
      </w:r>
      <w:r>
        <w:rPr>
          <w:rFonts w:ascii="Times New Roman" w:cs="Times New Roman" w:hint="eastAsia"/>
          <w:sz w:val="28"/>
          <w:szCs w:val="28"/>
        </w:rPr>
        <w:t>)</w:t>
      </w:r>
    </w:p>
    <w:p w:rsidR="00F65813" w:rsidRDefault="00F65813">
      <w:pPr>
        <w:pStyle w:val="affe"/>
        <w:ind w:firstLine="420"/>
      </w:pPr>
    </w:p>
    <w:p w:rsidR="00F65813" w:rsidRDefault="00EB0B4C" w:rsidP="007D0FD6">
      <w:pPr>
        <w:spacing w:beforeLines="50" w:afterLines="50"/>
        <w:ind w:firstLineChars="200" w:firstLine="420"/>
        <w:rPr>
          <w:rFonts w:ascii="宋体" w:hAnsi="宋体"/>
          <w:color w:val="000000"/>
        </w:rPr>
      </w:pPr>
      <w:r>
        <w:rPr>
          <w:rFonts w:ascii="宋体" w:hAnsi="宋体" w:hint="eastAsia"/>
          <w:color w:val="000000"/>
        </w:rPr>
        <w:t>根据《上海市景观照明管理办法》（市政府令</w:t>
      </w:r>
      <w:r>
        <w:rPr>
          <w:rFonts w:ascii="宋体" w:hAnsi="宋体" w:hint="eastAsia"/>
          <w:color w:val="000000"/>
        </w:rPr>
        <w:t>25</w:t>
      </w:r>
      <w:r>
        <w:rPr>
          <w:rFonts w:ascii="宋体" w:hAnsi="宋体" w:hint="eastAsia"/>
          <w:color w:val="000000"/>
        </w:rPr>
        <w:t>号公布）制定本规范。在本市设置景观照明除遵守国家和本市有关管理规定外，还应当遵守本规范。本规范为上海市</w:t>
      </w:r>
      <w:r>
        <w:rPr>
          <w:rFonts w:hint="eastAsia"/>
        </w:rPr>
        <w:t>景观照明设计、施工、验收和运行维护</w:t>
      </w:r>
      <w:r>
        <w:rPr>
          <w:rFonts w:ascii="宋体" w:hAnsi="宋体" w:hint="eastAsia"/>
          <w:color w:val="000000"/>
        </w:rPr>
        <w:t>等提供管理依据。</w:t>
      </w:r>
      <w:r>
        <w:rPr>
          <w:rFonts w:ascii="宋体" w:hAnsi="宋体" w:hint="eastAsia"/>
          <w:color w:val="000000"/>
        </w:rPr>
        <w:t xml:space="preserve"> </w:t>
      </w:r>
    </w:p>
    <w:p w:rsidR="00F65813" w:rsidRDefault="00EB0B4C" w:rsidP="007D0FD6">
      <w:pPr>
        <w:spacing w:beforeLines="50" w:afterLines="50"/>
        <w:ind w:firstLineChars="200" w:firstLine="420"/>
        <w:rPr>
          <w:rFonts w:ascii="宋体" w:hAnsi="宋体"/>
          <w:color w:val="000000"/>
        </w:rPr>
      </w:pPr>
      <w:r>
        <w:rPr>
          <w:rFonts w:ascii="宋体" w:hAnsi="宋体" w:hint="eastAsia"/>
          <w:color w:val="000000"/>
        </w:rPr>
        <w:t>本规范由上海市绿化和市容管理局组织编制。</w:t>
      </w:r>
    </w:p>
    <w:p w:rsidR="00F65813" w:rsidRDefault="00EB0B4C" w:rsidP="007D0FD6">
      <w:pPr>
        <w:spacing w:beforeLines="50" w:afterLines="50"/>
        <w:ind w:firstLineChars="200" w:firstLine="420"/>
        <w:rPr>
          <w:rFonts w:ascii="宋体" w:hAnsi="宋体"/>
          <w:color w:val="000000"/>
        </w:rPr>
      </w:pPr>
      <w:r>
        <w:rPr>
          <w:rFonts w:ascii="宋体" w:hAnsi="宋体" w:hint="eastAsia"/>
          <w:color w:val="000000"/>
        </w:rPr>
        <w:t>本规范由上海市绿化和市容管理局负责解释。</w:t>
      </w:r>
    </w:p>
    <w:p w:rsidR="00F65813" w:rsidRDefault="00EB0B4C" w:rsidP="007D0FD6">
      <w:pPr>
        <w:spacing w:beforeLines="50" w:afterLines="50"/>
        <w:ind w:firstLineChars="200" w:firstLine="420"/>
        <w:rPr>
          <w:rFonts w:ascii="宋体" w:hAnsi="宋体"/>
          <w:color w:val="000000"/>
        </w:rPr>
      </w:pPr>
      <w:r>
        <w:rPr>
          <w:rFonts w:ascii="宋体" w:hAnsi="宋体" w:hint="eastAsia"/>
          <w:color w:val="000000"/>
        </w:rPr>
        <w:t>本规范的附录</w:t>
      </w:r>
      <w:r>
        <w:rPr>
          <w:rFonts w:ascii="宋体" w:hAnsi="宋体" w:hint="eastAsia"/>
          <w:color w:val="000000"/>
        </w:rPr>
        <w:t>A</w:t>
      </w:r>
      <w:r>
        <w:rPr>
          <w:rFonts w:ascii="宋体" w:hAnsi="宋体" w:hint="eastAsia"/>
          <w:color w:val="000000"/>
        </w:rPr>
        <w:t>为规范性附录，附录</w:t>
      </w:r>
      <w:r>
        <w:rPr>
          <w:rFonts w:ascii="宋体" w:hAnsi="宋体" w:hint="eastAsia"/>
          <w:color w:val="000000"/>
        </w:rPr>
        <w:t xml:space="preserve">B </w:t>
      </w:r>
      <w:r>
        <w:rPr>
          <w:rFonts w:ascii="宋体" w:hAnsi="宋体" w:hint="eastAsia"/>
          <w:color w:val="000000"/>
        </w:rPr>
        <w:t>、</w:t>
      </w:r>
      <w:r>
        <w:rPr>
          <w:rFonts w:ascii="宋体" w:hAnsi="宋体" w:hint="eastAsia"/>
          <w:color w:val="000000"/>
        </w:rPr>
        <w:t>C</w:t>
      </w:r>
      <w:r>
        <w:rPr>
          <w:rFonts w:ascii="宋体" w:hAnsi="宋体" w:hint="eastAsia"/>
          <w:color w:val="000000"/>
        </w:rPr>
        <w:t>为资料性附录。</w:t>
      </w:r>
    </w:p>
    <w:p w:rsidR="00F65813" w:rsidRDefault="00F65813">
      <w:pPr>
        <w:pStyle w:val="affe"/>
        <w:ind w:firstLine="420"/>
      </w:pPr>
    </w:p>
    <w:p w:rsidR="00F65813" w:rsidRDefault="00EB0B4C">
      <w:pPr>
        <w:pStyle w:val="a3"/>
        <w:widowControl w:val="0"/>
        <w:numPr>
          <w:ilvl w:val="0"/>
          <w:numId w:val="0"/>
        </w:numPr>
        <w:spacing w:before="312" w:after="312"/>
        <w:rPr>
          <w:rFonts w:ascii="Times New Roman" w:cs="Times New Roman"/>
        </w:rPr>
      </w:pPr>
      <w:r>
        <w:rPr>
          <w:rFonts w:ascii="Times New Roman" w:cs="Times New Roman"/>
        </w:rPr>
        <w:t xml:space="preserve">1   </w:t>
      </w:r>
      <w:r>
        <w:rPr>
          <w:rFonts w:ascii="Times New Roman" w:cs="Times New Roman" w:hint="eastAsia"/>
        </w:rPr>
        <w:t>范围</w:t>
      </w:r>
      <w:bookmarkEnd w:id="0"/>
      <w:bookmarkEnd w:id="1"/>
      <w:bookmarkEnd w:id="2"/>
      <w:bookmarkEnd w:id="3"/>
      <w:bookmarkEnd w:id="4"/>
      <w:bookmarkEnd w:id="5"/>
    </w:p>
    <w:p w:rsidR="00F65813" w:rsidRDefault="00EB0B4C">
      <w:pPr>
        <w:pStyle w:val="affe"/>
        <w:widowControl w:val="0"/>
        <w:ind w:firstLine="420"/>
      </w:pPr>
      <w:r>
        <w:rPr>
          <w:rFonts w:ascii="Times New Roman" w:cs="Times New Roman" w:hint="eastAsia"/>
        </w:rPr>
        <w:t>本</w:t>
      </w:r>
      <w:r>
        <w:rPr>
          <w:rFonts w:hAnsi="宋体" w:hint="eastAsia"/>
          <w:color w:val="000000"/>
        </w:rPr>
        <w:t>规范</w:t>
      </w:r>
      <w:r>
        <w:rPr>
          <w:rFonts w:ascii="Times New Roman" w:cs="Times New Roman" w:hint="eastAsia"/>
        </w:rPr>
        <w:t>规定了景观照明设计、设备、供配电、控制、施工、验收和运行维护的技术及相关管理要求。</w:t>
      </w:r>
    </w:p>
    <w:p w:rsidR="00F65813" w:rsidRDefault="00EB0B4C">
      <w:pPr>
        <w:adjustRightInd w:val="0"/>
        <w:snapToGrid w:val="0"/>
        <w:ind w:firstLineChars="200" w:firstLine="420"/>
      </w:pPr>
      <w:r>
        <w:rPr>
          <w:rFonts w:hint="eastAsia"/>
        </w:rPr>
        <w:t>本规范适用于本市行政区域内利用建（构）筑物以及广场、公园、公共绿化等设置的各类景观照明。</w:t>
      </w:r>
    </w:p>
    <w:p w:rsidR="00F65813" w:rsidRDefault="00EB0B4C">
      <w:pPr>
        <w:pStyle w:val="a3"/>
        <w:widowControl w:val="0"/>
        <w:numPr>
          <w:ilvl w:val="0"/>
          <w:numId w:val="0"/>
        </w:numPr>
        <w:spacing w:before="312" w:after="312"/>
        <w:rPr>
          <w:rFonts w:ascii="Times New Roman" w:cs="Times New Roman"/>
        </w:rPr>
      </w:pPr>
      <w:bookmarkStart w:id="9" w:name="_Toc82424676"/>
      <w:bookmarkStart w:id="10" w:name="_Toc48571135"/>
      <w:bookmarkStart w:id="11" w:name="_Toc82425179"/>
      <w:bookmarkEnd w:id="6"/>
      <w:bookmarkEnd w:id="7"/>
      <w:r>
        <w:rPr>
          <w:rFonts w:ascii="Times New Roman" w:cs="Times New Roman" w:hint="eastAsia"/>
        </w:rPr>
        <w:t>2</w:t>
      </w:r>
      <w:r>
        <w:rPr>
          <w:rFonts w:ascii="Times New Roman" w:cs="Times New Roman" w:hint="eastAsia"/>
        </w:rPr>
        <w:t>规范性引用文件</w:t>
      </w:r>
      <w:bookmarkEnd w:id="9"/>
      <w:bookmarkEnd w:id="10"/>
      <w:bookmarkEnd w:id="11"/>
      <w:r>
        <w:rPr>
          <w:rFonts w:ascii="Times New Roman" w:cs="Times New Roman"/>
        </w:rPr>
        <w:tab/>
      </w:r>
    </w:p>
    <w:p w:rsidR="00F65813" w:rsidRDefault="00EB0B4C">
      <w:pPr>
        <w:pStyle w:val="affe"/>
        <w:widowControl w:val="0"/>
        <w:ind w:firstLine="420"/>
        <w:rPr>
          <w:rFonts w:ascii="Times New Roman" w:cs="Times New Roman"/>
        </w:rPr>
      </w:pPr>
      <w:bookmarkStart w:id="12" w:name="_Toc306119136"/>
      <w:bookmarkStart w:id="13" w:name="_Toc306118250"/>
      <w:r>
        <w:rPr>
          <w:rFonts w:ascii="Times New Roman" w:cs="Times New Roman" w:hint="eastAsia"/>
        </w:rPr>
        <w:t>下列文件中的内容通过文中的规范性引用而构成本规范必不可少的条款。凡是注日期的引用文件，仅该日期对应的版本适用于本规范；不注日期的引用文件，其最新版本（包括所有的修改单）适用于本规范。</w:t>
      </w:r>
    </w:p>
    <w:p w:rsidR="00F65813" w:rsidRDefault="00EB0B4C">
      <w:pPr>
        <w:adjustRightInd w:val="0"/>
        <w:snapToGrid w:val="0"/>
        <w:ind w:firstLine="426"/>
        <w:rPr>
          <w:rFonts w:ascii="宋体" w:hAnsi="宋体"/>
        </w:rPr>
      </w:pPr>
      <w:bookmarkStart w:id="14" w:name="_Hlk53750398"/>
      <w:bookmarkStart w:id="15" w:name="_Hlk49988689"/>
      <w:r>
        <w:rPr>
          <w:rFonts w:ascii="宋体" w:hAnsi="宋体"/>
        </w:rPr>
        <w:t>GB/T 2900.71</w:t>
      </w:r>
      <w:bookmarkStart w:id="16" w:name="_Hlk53750383"/>
      <w:bookmarkEnd w:id="14"/>
      <w:r>
        <w:rPr>
          <w:rFonts w:ascii="宋体" w:hAnsi="宋体" w:hint="eastAsia"/>
        </w:rPr>
        <w:t>电工术语电气装置</w:t>
      </w:r>
      <w:bookmarkEnd w:id="16"/>
    </w:p>
    <w:p w:rsidR="00F65813" w:rsidRDefault="00EB0B4C">
      <w:pPr>
        <w:adjustRightInd w:val="0"/>
        <w:snapToGrid w:val="0"/>
        <w:ind w:firstLine="426"/>
        <w:rPr>
          <w:rFonts w:ascii="宋体" w:hAnsi="宋体"/>
        </w:rPr>
      </w:pPr>
      <w:bookmarkStart w:id="17" w:name="_Hlk53750441"/>
      <w:bookmarkEnd w:id="15"/>
      <w:r>
        <w:rPr>
          <w:rFonts w:ascii="宋体" w:hAnsi="宋体"/>
        </w:rPr>
        <w:t>GB 7000</w:t>
      </w:r>
      <w:bookmarkEnd w:id="17"/>
      <w:r>
        <w:rPr>
          <w:rFonts w:ascii="宋体" w:hAnsi="宋体" w:hint="eastAsia"/>
        </w:rPr>
        <w:t>（所有</w:t>
      </w:r>
      <w:r>
        <w:rPr>
          <w:rFonts w:ascii="宋体" w:hAnsi="宋体"/>
        </w:rPr>
        <w:t>部分</w:t>
      </w:r>
      <w:r>
        <w:rPr>
          <w:rFonts w:ascii="宋体" w:hAnsi="宋体" w:hint="eastAsia"/>
        </w:rPr>
        <w:t>）</w:t>
      </w:r>
      <w:bookmarkStart w:id="18" w:name="_Hlk53750431"/>
      <w:r>
        <w:rPr>
          <w:rFonts w:ascii="宋体" w:hAnsi="宋体" w:hint="eastAsia"/>
        </w:rPr>
        <w:t>灯具</w:t>
      </w:r>
      <w:bookmarkEnd w:id="18"/>
    </w:p>
    <w:p w:rsidR="00F65813" w:rsidRDefault="00EB0B4C">
      <w:pPr>
        <w:adjustRightInd w:val="0"/>
        <w:snapToGrid w:val="0"/>
        <w:ind w:firstLine="426"/>
        <w:rPr>
          <w:rFonts w:ascii="宋体" w:hAnsi="宋体"/>
        </w:rPr>
      </w:pPr>
      <w:r>
        <w:rPr>
          <w:rFonts w:ascii="宋体" w:hAnsi="宋体"/>
        </w:rPr>
        <w:t xml:space="preserve">GB/T 16895.19  </w:t>
      </w:r>
      <w:r>
        <w:rPr>
          <w:rFonts w:ascii="宋体" w:hAnsi="宋体" w:hint="eastAsia"/>
        </w:rPr>
        <w:t>低压电气装置第</w:t>
      </w:r>
      <w:r>
        <w:rPr>
          <w:rFonts w:ascii="宋体" w:hAnsi="宋体"/>
        </w:rPr>
        <w:t>7-702</w:t>
      </w:r>
      <w:r>
        <w:rPr>
          <w:rFonts w:ascii="宋体" w:hAnsi="宋体" w:hint="eastAsia"/>
        </w:rPr>
        <w:t>部分：特殊装置或场所的要求游泳池和喷泉</w:t>
      </w:r>
    </w:p>
    <w:p w:rsidR="00F65813" w:rsidRDefault="00EB0B4C">
      <w:pPr>
        <w:adjustRightInd w:val="0"/>
        <w:snapToGrid w:val="0"/>
        <w:ind w:firstLine="426"/>
        <w:rPr>
          <w:rFonts w:ascii="宋体" w:hAnsi="宋体"/>
        </w:rPr>
      </w:pPr>
      <w:r>
        <w:rPr>
          <w:rFonts w:ascii="宋体" w:hAnsi="宋体"/>
        </w:rPr>
        <w:t xml:space="preserve">GB/T 17045  </w:t>
      </w:r>
      <w:r>
        <w:rPr>
          <w:rFonts w:ascii="宋体" w:hAnsi="宋体" w:hint="eastAsia"/>
        </w:rPr>
        <w:t>电击防护装置和设备的通用部分</w:t>
      </w:r>
    </w:p>
    <w:p w:rsidR="00F65813" w:rsidRDefault="00EB0B4C">
      <w:pPr>
        <w:adjustRightInd w:val="0"/>
        <w:snapToGrid w:val="0"/>
        <w:ind w:firstLine="426"/>
        <w:rPr>
          <w:rFonts w:ascii="宋体" w:hAnsi="宋体"/>
        </w:rPr>
      </w:pPr>
      <w:r>
        <w:rPr>
          <w:rFonts w:ascii="宋体" w:hAnsi="宋体"/>
        </w:rPr>
        <w:t>GB 19510</w:t>
      </w:r>
      <w:r>
        <w:rPr>
          <w:rFonts w:ascii="宋体" w:hAnsi="宋体" w:hint="eastAsia"/>
        </w:rPr>
        <w:t>（所有</w:t>
      </w:r>
      <w:r>
        <w:rPr>
          <w:rFonts w:ascii="宋体" w:hAnsi="宋体"/>
        </w:rPr>
        <w:t>部分</w:t>
      </w:r>
      <w:r>
        <w:rPr>
          <w:rFonts w:ascii="宋体" w:hAnsi="宋体" w:hint="eastAsia"/>
        </w:rPr>
        <w:t>）灯的控制装置</w:t>
      </w:r>
    </w:p>
    <w:p w:rsidR="00F65813" w:rsidRDefault="00EB0B4C">
      <w:pPr>
        <w:adjustRightInd w:val="0"/>
        <w:snapToGrid w:val="0"/>
        <w:ind w:firstLine="426"/>
        <w:rPr>
          <w:rFonts w:ascii="宋体" w:hAnsi="宋体"/>
        </w:rPr>
      </w:pPr>
      <w:r>
        <w:rPr>
          <w:rFonts w:ascii="宋体" w:hAnsi="宋体"/>
        </w:rPr>
        <w:t xml:space="preserve">GB/T 22239—2019  </w:t>
      </w:r>
      <w:r>
        <w:rPr>
          <w:rFonts w:ascii="宋体" w:hAnsi="宋体" w:hint="eastAsia"/>
        </w:rPr>
        <w:t>信息安全技术网络安全等级保护基本要求</w:t>
      </w:r>
    </w:p>
    <w:p w:rsidR="00F65813" w:rsidRDefault="00EB0B4C">
      <w:pPr>
        <w:adjustRightInd w:val="0"/>
        <w:snapToGrid w:val="0"/>
        <w:ind w:firstLine="426"/>
        <w:rPr>
          <w:rFonts w:ascii="宋体" w:hAnsi="宋体"/>
        </w:rPr>
      </w:pPr>
      <w:r>
        <w:rPr>
          <w:rFonts w:ascii="宋体" w:hAnsi="宋体"/>
        </w:rPr>
        <w:t>GB/T 33721—2017  LED</w:t>
      </w:r>
      <w:r>
        <w:rPr>
          <w:rFonts w:ascii="宋体" w:hAnsi="宋体" w:hint="eastAsia"/>
        </w:rPr>
        <w:t>灯具可靠性试验方法</w:t>
      </w:r>
    </w:p>
    <w:p w:rsidR="00F65813" w:rsidRDefault="00EB0B4C">
      <w:pPr>
        <w:adjustRightInd w:val="0"/>
        <w:snapToGrid w:val="0"/>
        <w:ind w:firstLine="426"/>
        <w:rPr>
          <w:rFonts w:ascii="宋体" w:hAnsi="宋体"/>
        </w:rPr>
      </w:pPr>
      <w:r>
        <w:rPr>
          <w:rFonts w:ascii="宋体" w:hAnsi="宋体"/>
        </w:rPr>
        <w:t>GB/T 40250</w:t>
      </w:r>
      <w:r>
        <w:rPr>
          <w:rFonts w:ascii="宋体" w:hAnsi="宋体" w:hint="eastAsia"/>
        </w:rPr>
        <w:t>—</w:t>
      </w:r>
      <w:r>
        <w:rPr>
          <w:rFonts w:ascii="宋体" w:hAnsi="宋体"/>
        </w:rPr>
        <w:t xml:space="preserve">2021  </w:t>
      </w:r>
      <w:r>
        <w:rPr>
          <w:rFonts w:ascii="宋体" w:hAnsi="宋体"/>
        </w:rPr>
        <w:t>城市景观照明设施防雷技术规范</w:t>
      </w:r>
    </w:p>
    <w:p w:rsidR="00F65813" w:rsidRDefault="00EB0B4C">
      <w:pPr>
        <w:adjustRightInd w:val="0"/>
        <w:snapToGrid w:val="0"/>
        <w:ind w:firstLine="426"/>
        <w:rPr>
          <w:rFonts w:ascii="宋体" w:hAnsi="宋体"/>
        </w:rPr>
      </w:pPr>
      <w:bookmarkStart w:id="19" w:name="_Hlk53752643"/>
      <w:r>
        <w:rPr>
          <w:rFonts w:ascii="宋体" w:hAnsi="宋体"/>
        </w:rPr>
        <w:lastRenderedPageBreak/>
        <w:t>GB 50034</w:t>
      </w:r>
      <w:bookmarkEnd w:id="19"/>
      <w:r>
        <w:rPr>
          <w:rFonts w:ascii="宋体" w:hAnsi="宋体"/>
        </w:rPr>
        <w:t xml:space="preserve">—2013  </w:t>
      </w:r>
      <w:bookmarkStart w:id="20" w:name="_Hlk53752632"/>
      <w:r>
        <w:rPr>
          <w:rFonts w:ascii="宋体" w:hAnsi="宋体" w:hint="eastAsia"/>
        </w:rPr>
        <w:t>建筑照明设计标准</w:t>
      </w:r>
      <w:bookmarkEnd w:id="20"/>
    </w:p>
    <w:p w:rsidR="00F65813" w:rsidRDefault="00EB0B4C">
      <w:pPr>
        <w:adjustRightInd w:val="0"/>
        <w:snapToGrid w:val="0"/>
        <w:ind w:firstLine="426"/>
        <w:rPr>
          <w:rFonts w:ascii="宋体" w:hAnsi="宋体"/>
        </w:rPr>
      </w:pPr>
      <w:r>
        <w:rPr>
          <w:rFonts w:ascii="宋体" w:hAnsi="宋体"/>
        </w:rPr>
        <w:t xml:space="preserve">GB 50300  </w:t>
      </w:r>
      <w:r>
        <w:rPr>
          <w:rFonts w:ascii="宋体" w:hAnsi="宋体"/>
        </w:rPr>
        <w:t>建筑工程施工质量验收统一标准</w:t>
      </w:r>
    </w:p>
    <w:p w:rsidR="00F65813" w:rsidRDefault="00EB0B4C">
      <w:pPr>
        <w:adjustRightInd w:val="0"/>
        <w:snapToGrid w:val="0"/>
        <w:ind w:firstLine="426"/>
        <w:rPr>
          <w:rFonts w:ascii="宋体" w:hAnsi="宋体"/>
        </w:rPr>
      </w:pPr>
      <w:r>
        <w:rPr>
          <w:rFonts w:ascii="宋体" w:hAnsi="宋体"/>
        </w:rPr>
        <w:t xml:space="preserve">GB 50303  </w:t>
      </w:r>
      <w:r>
        <w:rPr>
          <w:rFonts w:ascii="宋体" w:hAnsi="宋体" w:hint="eastAsia"/>
        </w:rPr>
        <w:t>建筑电气工程施工质量验收规范</w:t>
      </w:r>
    </w:p>
    <w:p w:rsidR="00F65813" w:rsidRDefault="00EB0B4C">
      <w:pPr>
        <w:adjustRightInd w:val="0"/>
        <w:snapToGrid w:val="0"/>
        <w:ind w:firstLine="426"/>
        <w:rPr>
          <w:rFonts w:ascii="宋体" w:hAnsi="宋体"/>
        </w:rPr>
      </w:pPr>
      <w:r>
        <w:rPr>
          <w:rFonts w:ascii="宋体" w:hAnsi="宋体"/>
        </w:rPr>
        <w:t xml:space="preserve">GB 50617  </w:t>
      </w:r>
      <w:r>
        <w:rPr>
          <w:rFonts w:ascii="宋体" w:hAnsi="宋体"/>
        </w:rPr>
        <w:t>建筑电气照明装置施工与验收规范</w:t>
      </w:r>
    </w:p>
    <w:p w:rsidR="00F65813" w:rsidRDefault="00EB0B4C">
      <w:pPr>
        <w:adjustRightInd w:val="0"/>
        <w:snapToGrid w:val="0"/>
        <w:ind w:firstLine="426"/>
        <w:rPr>
          <w:rFonts w:ascii="宋体" w:hAnsi="宋体"/>
        </w:rPr>
      </w:pPr>
      <w:bookmarkStart w:id="21" w:name="_Hlk53753244"/>
      <w:r>
        <w:rPr>
          <w:rFonts w:ascii="宋体" w:hAnsi="宋体"/>
        </w:rPr>
        <w:t>GB 51348</w:t>
      </w:r>
      <w:bookmarkEnd w:id="21"/>
      <w:r>
        <w:rPr>
          <w:rFonts w:ascii="宋体" w:hAnsi="宋体"/>
        </w:rPr>
        <w:t xml:space="preserve">—2019  </w:t>
      </w:r>
      <w:bookmarkStart w:id="22" w:name="_Hlk53753231"/>
      <w:r>
        <w:rPr>
          <w:rFonts w:ascii="宋体" w:hAnsi="宋体" w:hint="eastAsia"/>
        </w:rPr>
        <w:t>民用建筑电气设计标准</w:t>
      </w:r>
      <w:bookmarkEnd w:id="22"/>
    </w:p>
    <w:p w:rsidR="00F65813" w:rsidRDefault="00F65813">
      <w:pPr>
        <w:adjustRightInd w:val="0"/>
        <w:snapToGrid w:val="0"/>
        <w:ind w:firstLine="426"/>
        <w:rPr>
          <w:rFonts w:ascii="宋体" w:hAnsi="宋体"/>
        </w:rPr>
      </w:pPr>
      <w:r w:rsidRPr="00F65813">
        <w:rPr>
          <w:rFonts w:ascii="宋体" w:hAnsi="宋体"/>
        </w:rPr>
        <w:t xml:space="preserve">GB 55013—2021  </w:t>
      </w:r>
      <w:r w:rsidRPr="00F65813">
        <w:rPr>
          <w:rFonts w:ascii="宋体" w:hAnsi="宋体" w:hint="eastAsia"/>
        </w:rPr>
        <w:t>市容环卫工程项目规范</w:t>
      </w:r>
    </w:p>
    <w:p w:rsidR="00F65813" w:rsidRDefault="00EB0B4C">
      <w:pPr>
        <w:adjustRightInd w:val="0"/>
        <w:snapToGrid w:val="0"/>
        <w:ind w:firstLine="426"/>
        <w:rPr>
          <w:rFonts w:ascii="宋体" w:hAnsi="宋体"/>
        </w:rPr>
      </w:pPr>
      <w:bookmarkStart w:id="23" w:name="_Hlk53753321"/>
      <w:r>
        <w:rPr>
          <w:rFonts w:ascii="宋体" w:hAnsi="宋体"/>
        </w:rPr>
        <w:t>JGJ/T 163</w:t>
      </w:r>
      <w:bookmarkEnd w:id="23"/>
      <w:r>
        <w:rPr>
          <w:rFonts w:ascii="宋体" w:hAnsi="宋体"/>
        </w:rPr>
        <w:t xml:space="preserve">—2008  </w:t>
      </w:r>
      <w:bookmarkStart w:id="24" w:name="_Hlk53753315"/>
      <w:r>
        <w:rPr>
          <w:rFonts w:ascii="宋体" w:hAnsi="宋体" w:hint="eastAsia"/>
        </w:rPr>
        <w:t>城市夜景照明设计规范</w:t>
      </w:r>
      <w:bookmarkEnd w:id="24"/>
    </w:p>
    <w:p w:rsidR="00F65813" w:rsidRDefault="00EB0B4C">
      <w:pPr>
        <w:adjustRightInd w:val="0"/>
        <w:snapToGrid w:val="0"/>
        <w:ind w:firstLine="426"/>
        <w:rPr>
          <w:rFonts w:ascii="宋体" w:hAnsi="宋体"/>
        </w:rPr>
      </w:pPr>
      <w:r>
        <w:rPr>
          <w:rFonts w:ascii="宋体" w:hAnsi="宋体" w:hint="eastAsia"/>
        </w:rPr>
        <w:t xml:space="preserve">IEC 60050-845:2020 </w:t>
      </w:r>
      <w:r>
        <w:rPr>
          <w:rFonts w:ascii="宋体" w:hAnsi="宋体" w:hint="eastAsia"/>
        </w:rPr>
        <w:t>国际电工术语</w:t>
      </w:r>
      <w:r>
        <w:rPr>
          <w:rFonts w:ascii="宋体" w:hAnsi="宋体" w:hint="eastAsia"/>
        </w:rPr>
        <w:t xml:space="preserve"> </w:t>
      </w:r>
      <w:r>
        <w:rPr>
          <w:rFonts w:ascii="宋体" w:hAnsi="宋体" w:hint="eastAsia"/>
        </w:rPr>
        <w:t>照明</w:t>
      </w:r>
      <w:r>
        <w:rPr>
          <w:rFonts w:ascii="宋体" w:hAnsi="宋体" w:hint="eastAsia"/>
        </w:rPr>
        <w:t xml:space="preserve"> </w:t>
      </w:r>
      <w:r>
        <w:rPr>
          <w:rFonts w:ascii="宋体" w:hAnsi="宋体" w:hint="eastAsia"/>
        </w:rPr>
        <w:t>（</w:t>
      </w:r>
      <w:r>
        <w:rPr>
          <w:rFonts w:ascii="宋体" w:hAnsi="宋体" w:hint="eastAsia"/>
        </w:rPr>
        <w:t>International Electrotechnical Vocabulary (IEV) - Part 845: Lighting</w:t>
      </w:r>
      <w:r>
        <w:rPr>
          <w:rFonts w:ascii="宋体" w:hAnsi="宋体" w:hint="eastAsia"/>
        </w:rPr>
        <w:t>）</w:t>
      </w:r>
    </w:p>
    <w:p w:rsidR="00F65813" w:rsidRDefault="00EB0B4C">
      <w:pPr>
        <w:adjustRightInd w:val="0"/>
        <w:snapToGrid w:val="0"/>
        <w:ind w:firstLine="426"/>
        <w:rPr>
          <w:rFonts w:ascii="宋体" w:hAnsi="宋体"/>
        </w:rPr>
      </w:pPr>
      <w:r>
        <w:rPr>
          <w:rFonts w:ascii="宋体" w:hAnsi="宋体"/>
        </w:rPr>
        <w:t xml:space="preserve">IEC TR 62778:2014  </w:t>
      </w:r>
      <w:r>
        <w:rPr>
          <w:rFonts w:ascii="宋体" w:hAnsi="宋体" w:hint="eastAsia"/>
        </w:rPr>
        <w:t>应用</w:t>
      </w:r>
      <w:r>
        <w:rPr>
          <w:rFonts w:ascii="宋体" w:hAnsi="宋体"/>
        </w:rPr>
        <w:t>IEC 62471</w:t>
      </w:r>
      <w:r>
        <w:rPr>
          <w:rFonts w:ascii="宋体" w:hAnsi="宋体"/>
        </w:rPr>
        <w:t>评估光源和灯具的蓝光危害</w:t>
      </w:r>
      <w:r>
        <w:rPr>
          <w:rFonts w:ascii="宋体" w:hAnsi="宋体" w:hint="eastAsia"/>
        </w:rPr>
        <w:t>（</w:t>
      </w:r>
      <w:r>
        <w:rPr>
          <w:rFonts w:ascii="宋体" w:hAnsi="宋体"/>
        </w:rPr>
        <w:t xml:space="preserve">Application of IEC 62471 for the </w:t>
      </w:r>
      <w:r w:rsidR="00F65813">
        <w:rPr>
          <w:rFonts w:ascii="宋体" w:hAnsi="宋体"/>
        </w:rPr>
        <w:t>assessment of blue light hazard to light sources and luminaires</w:t>
      </w:r>
      <w:r w:rsidR="00F65813">
        <w:rPr>
          <w:rFonts w:ascii="宋体" w:hAnsi="宋体" w:hint="eastAsia"/>
        </w:rPr>
        <w:t>）</w:t>
      </w:r>
    </w:p>
    <w:p w:rsidR="00F65813" w:rsidRDefault="00F65813">
      <w:pPr>
        <w:adjustRightInd w:val="0"/>
        <w:snapToGrid w:val="0"/>
        <w:ind w:firstLine="426"/>
        <w:rPr>
          <w:rFonts w:ascii="宋体" w:hAnsi="宋体"/>
        </w:rPr>
      </w:pPr>
      <w:r w:rsidRPr="00F65813">
        <w:rPr>
          <w:rFonts w:ascii="宋体" w:hAnsi="宋体"/>
          <w:color w:val="FF0000"/>
        </w:rPr>
        <w:t>D</w:t>
      </w:r>
      <w:r>
        <w:rPr>
          <w:rFonts w:ascii="宋体" w:hAnsi="宋体"/>
        </w:rPr>
        <w:t>B31/T1075</w:t>
      </w:r>
      <w:r w:rsidR="00EB0B4C">
        <w:rPr>
          <w:rFonts w:ascii="宋体" w:hAnsi="宋体" w:hint="eastAsia"/>
        </w:rPr>
        <w:t>-2017</w:t>
      </w:r>
      <w:r w:rsidR="00EB0B4C">
        <w:rPr>
          <w:rFonts w:ascii="宋体" w:hAnsi="宋体" w:hint="eastAsia"/>
        </w:rPr>
        <w:t>上海市城市容貌规范</w:t>
      </w:r>
    </w:p>
    <w:p w:rsidR="00F65813" w:rsidRDefault="00EB0B4C">
      <w:pPr>
        <w:adjustRightInd w:val="0"/>
        <w:snapToGrid w:val="0"/>
        <w:ind w:left="426"/>
      </w:pPr>
      <w:r>
        <w:rPr>
          <w:rFonts w:hint="eastAsia"/>
        </w:rPr>
        <w:t>《上海市景观照明管理办法》（市政府规章）</w:t>
      </w:r>
    </w:p>
    <w:p w:rsidR="00F65813" w:rsidRDefault="00EB0B4C">
      <w:pPr>
        <w:adjustRightInd w:val="0"/>
        <w:snapToGrid w:val="0"/>
        <w:ind w:left="426"/>
      </w:pPr>
      <w:r>
        <w:rPr>
          <w:rFonts w:hint="eastAsia"/>
        </w:rPr>
        <w:t>《上海市景观照明总体规划》（市政府批准）</w:t>
      </w:r>
    </w:p>
    <w:p w:rsidR="00F65813" w:rsidRDefault="00F65813">
      <w:pPr>
        <w:adjustRightInd w:val="0"/>
        <w:snapToGrid w:val="0"/>
        <w:ind w:firstLine="426"/>
        <w:rPr>
          <w:rFonts w:ascii="宋体" w:hAnsi="宋体"/>
        </w:rPr>
      </w:pPr>
    </w:p>
    <w:p w:rsidR="00F65813" w:rsidRDefault="00EB0B4C">
      <w:pPr>
        <w:pStyle w:val="a3"/>
        <w:numPr>
          <w:ilvl w:val="0"/>
          <w:numId w:val="0"/>
        </w:numPr>
        <w:spacing w:before="312" w:after="312"/>
        <w:rPr>
          <w:rFonts w:ascii="Times New Roman" w:cs="Times New Roman"/>
        </w:rPr>
      </w:pPr>
      <w:bookmarkStart w:id="25" w:name="_Toc39047231"/>
      <w:bookmarkStart w:id="26" w:name="_Toc39047133"/>
      <w:bookmarkStart w:id="27" w:name="_Toc39047257"/>
      <w:bookmarkStart w:id="28" w:name="_Toc82425180"/>
      <w:bookmarkStart w:id="29" w:name="_Toc48571136"/>
      <w:bookmarkStart w:id="30" w:name="_Toc82424677"/>
      <w:bookmarkStart w:id="31" w:name="_Toc48763108"/>
      <w:bookmarkStart w:id="32" w:name="_Toc48571137"/>
      <w:bookmarkStart w:id="33" w:name="_Toc48764282"/>
      <w:bookmarkStart w:id="34" w:name="_Toc52309660"/>
      <w:bookmarkEnd w:id="12"/>
      <w:bookmarkEnd w:id="13"/>
      <w:bookmarkEnd w:id="25"/>
      <w:bookmarkEnd w:id="26"/>
      <w:bookmarkEnd w:id="27"/>
      <w:r>
        <w:rPr>
          <w:rFonts w:ascii="Times New Roman" w:cs="Times New Roman"/>
        </w:rPr>
        <w:t xml:space="preserve">3   </w:t>
      </w:r>
      <w:r>
        <w:rPr>
          <w:rFonts w:ascii="Times New Roman" w:cs="Times New Roman" w:hint="eastAsia"/>
        </w:rPr>
        <w:t>术语和定义</w:t>
      </w:r>
      <w:bookmarkEnd w:id="28"/>
      <w:bookmarkEnd w:id="29"/>
      <w:bookmarkEnd w:id="30"/>
    </w:p>
    <w:p w:rsidR="00F65813" w:rsidRDefault="00EB0B4C">
      <w:pPr>
        <w:pStyle w:val="a3"/>
        <w:numPr>
          <w:ilvl w:val="0"/>
          <w:numId w:val="0"/>
        </w:numPr>
        <w:spacing w:beforeLines="0" w:afterLines="0"/>
        <w:ind w:firstLineChars="200" w:firstLine="420"/>
        <w:outlineLvl w:val="9"/>
        <w:rPr>
          <w:rFonts w:asciiTheme="minorEastAsia" w:eastAsiaTheme="minorEastAsia" w:hAnsiTheme="minorEastAsia" w:cs="Times New Roman"/>
        </w:rPr>
      </w:pPr>
      <w:r>
        <w:rPr>
          <w:rFonts w:asciiTheme="minorEastAsia" w:eastAsiaTheme="minorEastAsia" w:hAnsiTheme="minorEastAsia" w:cs="Times New Roman"/>
        </w:rPr>
        <w:t>GB/T 2900.71</w:t>
      </w:r>
      <w:r>
        <w:rPr>
          <w:rFonts w:asciiTheme="minorEastAsia" w:eastAsiaTheme="minorEastAsia" w:hAnsiTheme="minorEastAsia" w:cs="Times New Roman" w:hint="eastAsia"/>
        </w:rPr>
        <w:t>、</w:t>
      </w:r>
      <w:r>
        <w:rPr>
          <w:rFonts w:asciiTheme="minorEastAsia" w:eastAsiaTheme="minorEastAsia" w:hAnsiTheme="minorEastAsia" w:cs="Times New Roman"/>
        </w:rPr>
        <w:t>GB 7000.1</w:t>
      </w:r>
      <w:r>
        <w:rPr>
          <w:rFonts w:asciiTheme="minorEastAsia" w:eastAsiaTheme="minorEastAsia" w:hAnsiTheme="minorEastAsia" w:cs="Times New Roman" w:hint="eastAsia"/>
        </w:rPr>
        <w:t>、</w:t>
      </w:r>
      <w:r>
        <w:rPr>
          <w:rFonts w:asciiTheme="minorEastAsia" w:eastAsiaTheme="minorEastAsia" w:hAnsiTheme="minorEastAsia" w:cs="Times New Roman"/>
        </w:rPr>
        <w:t>GB/T 17045</w:t>
      </w:r>
      <w:r>
        <w:rPr>
          <w:rFonts w:asciiTheme="minorEastAsia" w:eastAsiaTheme="minorEastAsia" w:hAnsiTheme="minorEastAsia" w:cs="Times New Roman" w:hint="eastAsia"/>
        </w:rPr>
        <w:t>、</w:t>
      </w:r>
      <w:r>
        <w:rPr>
          <w:rFonts w:asciiTheme="minorEastAsia" w:eastAsiaTheme="minorEastAsia" w:hAnsiTheme="minorEastAsia" w:cs="Times New Roman"/>
        </w:rPr>
        <w:t>GB 50034</w:t>
      </w:r>
      <w:r>
        <w:rPr>
          <w:rFonts w:asciiTheme="minorEastAsia" w:eastAsiaTheme="minorEastAsia" w:hAnsiTheme="minorEastAsia"/>
        </w:rPr>
        <w:t>—2013</w:t>
      </w:r>
      <w:r>
        <w:rPr>
          <w:rFonts w:asciiTheme="minorEastAsia" w:eastAsiaTheme="minorEastAsia" w:hAnsiTheme="minorEastAsia" w:cs="Times New Roman" w:hint="eastAsia"/>
        </w:rPr>
        <w:t>、</w:t>
      </w:r>
      <w:r>
        <w:rPr>
          <w:rFonts w:asciiTheme="minorEastAsia" w:eastAsiaTheme="minorEastAsia" w:hAnsiTheme="minorEastAsia" w:cs="Times New Roman"/>
        </w:rPr>
        <w:t>GB 51348</w:t>
      </w:r>
      <w:r>
        <w:rPr>
          <w:rFonts w:asciiTheme="minorEastAsia" w:eastAsiaTheme="minorEastAsia" w:hAnsiTheme="minorEastAsia"/>
        </w:rPr>
        <w:t>—2019</w:t>
      </w:r>
      <w:r>
        <w:rPr>
          <w:rFonts w:asciiTheme="minorEastAsia" w:eastAsiaTheme="minorEastAsia" w:hAnsiTheme="minorEastAsia" w:cs="Times New Roman" w:hint="eastAsia"/>
        </w:rPr>
        <w:t>和</w:t>
      </w:r>
      <w:r>
        <w:rPr>
          <w:rFonts w:asciiTheme="minorEastAsia" w:eastAsiaTheme="minorEastAsia" w:hAnsiTheme="minorEastAsia" w:cs="Times New Roman"/>
        </w:rPr>
        <w:t>JGJ/T 163</w:t>
      </w:r>
      <w:r>
        <w:rPr>
          <w:rFonts w:asciiTheme="minorEastAsia" w:eastAsiaTheme="minorEastAsia" w:hAnsiTheme="minorEastAsia" w:cs="Times New Roman" w:hint="eastAsia"/>
        </w:rPr>
        <w:t>界定的以及下列术语和定义适用于本规范。</w:t>
      </w:r>
    </w:p>
    <w:p w:rsidR="00F65813" w:rsidRDefault="00EB0B4C">
      <w:pPr>
        <w:pStyle w:val="a4"/>
        <w:numPr>
          <w:ilvl w:val="0"/>
          <w:numId w:val="0"/>
        </w:numPr>
        <w:spacing w:before="156" w:after="156"/>
        <w:rPr>
          <w:rFonts w:hAnsi="黑体" w:cs="Times New Roman"/>
        </w:rPr>
      </w:pPr>
      <w:bookmarkStart w:id="35" w:name="_Toc57194637"/>
      <w:bookmarkStart w:id="36" w:name="_Toc56416225"/>
      <w:bookmarkStart w:id="37" w:name="_Toc57036593"/>
      <w:bookmarkStart w:id="38" w:name="_Toc71206544"/>
      <w:bookmarkStart w:id="39" w:name="_Toc52354282"/>
      <w:bookmarkStart w:id="40" w:name="_Toc52361123"/>
      <w:bookmarkStart w:id="41" w:name="_Toc48763109"/>
      <w:bookmarkStart w:id="42" w:name="_Toc48571139"/>
      <w:bookmarkStart w:id="43" w:name="_Toc48764283"/>
      <w:bookmarkStart w:id="44" w:name="_Toc52309661"/>
      <w:bookmarkStart w:id="45" w:name="_Hlk50585363"/>
      <w:bookmarkEnd w:id="31"/>
      <w:bookmarkEnd w:id="32"/>
      <w:bookmarkEnd w:id="33"/>
      <w:bookmarkEnd w:id="34"/>
      <w:bookmarkEnd w:id="35"/>
      <w:bookmarkEnd w:id="36"/>
      <w:bookmarkEnd w:id="37"/>
      <w:bookmarkEnd w:id="38"/>
      <w:bookmarkEnd w:id="39"/>
      <w:bookmarkEnd w:id="40"/>
      <w:r>
        <w:rPr>
          <w:rFonts w:hAnsi="黑体" w:cs="Times New Roman" w:hint="eastAsia"/>
        </w:rPr>
        <w:t>3</w:t>
      </w:r>
      <w:r>
        <w:rPr>
          <w:rFonts w:hAnsi="黑体" w:cs="Times New Roman"/>
        </w:rPr>
        <w:t>.1</w:t>
      </w:r>
    </w:p>
    <w:p w:rsidR="00F65813" w:rsidRDefault="00EB0B4C">
      <w:pPr>
        <w:pStyle w:val="a3"/>
        <w:numPr>
          <w:ilvl w:val="0"/>
          <w:numId w:val="0"/>
        </w:numPr>
        <w:spacing w:beforeLines="0" w:afterLines="0"/>
        <w:ind w:firstLineChars="200" w:firstLine="420"/>
        <w:outlineLvl w:val="9"/>
        <w:rPr>
          <w:rFonts w:hAnsi="黑体" w:cs="Times New Roman"/>
          <w:bCs/>
          <w:color w:val="333333"/>
          <w:shd w:val="clear" w:color="auto" w:fill="FFFFFF"/>
        </w:rPr>
      </w:pPr>
      <w:r>
        <w:rPr>
          <w:rFonts w:hAnsi="黑体" w:cs="Times New Roman" w:hint="eastAsia"/>
          <w:bCs/>
          <w:color w:val="333333"/>
          <w:shd w:val="clear" w:color="auto" w:fill="FFFFFF"/>
        </w:rPr>
        <w:t>景观照明</w:t>
      </w:r>
      <w:r>
        <w:rPr>
          <w:rFonts w:hAnsi="黑体" w:cs="Times New Roman"/>
          <w:bCs/>
          <w:color w:val="333333"/>
          <w:shd w:val="clear" w:color="auto" w:fill="FFFFFF"/>
        </w:rPr>
        <w:t xml:space="preserve">  landscape </w:t>
      </w:r>
      <w:bookmarkEnd w:id="41"/>
      <w:bookmarkEnd w:id="42"/>
      <w:bookmarkEnd w:id="43"/>
      <w:r>
        <w:rPr>
          <w:rFonts w:hAnsi="黑体" w:cs="Times New Roman"/>
          <w:bCs/>
          <w:color w:val="333333"/>
          <w:shd w:val="clear" w:color="auto" w:fill="FFFFFF"/>
        </w:rPr>
        <w:t>lighting</w:t>
      </w:r>
      <w:bookmarkEnd w:id="44"/>
    </w:p>
    <w:p w:rsidR="00F65813" w:rsidRDefault="00EB0B4C">
      <w:pPr>
        <w:pStyle w:val="a3"/>
        <w:numPr>
          <w:ilvl w:val="0"/>
          <w:numId w:val="0"/>
        </w:numPr>
        <w:spacing w:beforeLines="0" w:afterLines="0"/>
        <w:ind w:firstLineChars="200" w:firstLine="420"/>
        <w:outlineLvl w:val="9"/>
        <w:rPr>
          <w:rFonts w:ascii="Times New Roman" w:eastAsia="宋体" w:cs="Times New Roman"/>
        </w:rPr>
      </w:pPr>
      <w:bookmarkStart w:id="46" w:name="_Toc48764284"/>
      <w:bookmarkStart w:id="47" w:name="_Toc52309662"/>
      <w:bookmarkStart w:id="48" w:name="_Toc48763110"/>
      <w:bookmarkStart w:id="49" w:name="_Toc48571140"/>
      <w:bookmarkEnd w:id="45"/>
      <w:r>
        <w:rPr>
          <w:rFonts w:ascii="Times New Roman" w:eastAsia="宋体" w:cs="Times New Roman" w:hint="eastAsia"/>
        </w:rPr>
        <w:t>利用建（构）筑物及广场、公园、公共绿化等设置的，以装饰和造景为目的的户外人工光照。</w:t>
      </w:r>
      <w:bookmarkEnd w:id="46"/>
      <w:bookmarkEnd w:id="47"/>
      <w:bookmarkEnd w:id="48"/>
      <w:bookmarkEnd w:id="49"/>
    </w:p>
    <w:p w:rsidR="00F65813" w:rsidRDefault="00EB0B4C">
      <w:pPr>
        <w:pStyle w:val="a4"/>
        <w:numPr>
          <w:ilvl w:val="0"/>
          <w:numId w:val="0"/>
        </w:numPr>
        <w:spacing w:before="156" w:after="156"/>
        <w:rPr>
          <w:rFonts w:ascii="Times New Roman" w:cs="Times New Roman"/>
        </w:rPr>
      </w:pPr>
      <w:bookmarkStart w:id="50" w:name="_Toc56416226"/>
      <w:bookmarkStart w:id="51" w:name="_Toc57194638"/>
      <w:bookmarkStart w:id="52" w:name="_Toc71206545"/>
      <w:bookmarkStart w:id="53" w:name="_Toc57036594"/>
      <w:bookmarkEnd w:id="50"/>
      <w:bookmarkEnd w:id="51"/>
      <w:bookmarkEnd w:id="52"/>
      <w:bookmarkEnd w:id="53"/>
      <w:r>
        <w:rPr>
          <w:rFonts w:hAnsi="黑体" w:cs="Times New Roman" w:hint="eastAsia"/>
        </w:rPr>
        <w:t>3</w:t>
      </w:r>
      <w:r>
        <w:rPr>
          <w:rFonts w:hAnsi="黑体" w:cs="Times New Roman"/>
        </w:rPr>
        <w:t>.2</w:t>
      </w:r>
    </w:p>
    <w:p w:rsidR="00F65813" w:rsidRDefault="00EB0B4C">
      <w:pPr>
        <w:pStyle w:val="a3"/>
        <w:numPr>
          <w:ilvl w:val="0"/>
          <w:numId w:val="0"/>
        </w:numPr>
        <w:spacing w:beforeLines="0" w:afterLines="0"/>
        <w:ind w:firstLineChars="200" w:firstLine="420"/>
        <w:outlineLvl w:val="9"/>
        <w:rPr>
          <w:rFonts w:hAnsi="黑体" w:cs="Times New Roman"/>
          <w:bCs/>
          <w:color w:val="333333"/>
          <w:shd w:val="clear" w:color="auto" w:fill="FFFFFF"/>
        </w:rPr>
      </w:pPr>
      <w:r>
        <w:rPr>
          <w:rFonts w:hAnsi="黑体" w:cs="Times New Roman" w:hint="eastAsia"/>
          <w:bCs/>
          <w:color w:val="333333"/>
          <w:shd w:val="clear" w:color="auto" w:fill="FFFFFF"/>
        </w:rPr>
        <w:t>光污染</w:t>
      </w:r>
      <w:r>
        <w:rPr>
          <w:rFonts w:hAnsi="黑体" w:cs="Times New Roman"/>
          <w:bCs/>
          <w:color w:val="333333"/>
          <w:shd w:val="clear" w:color="auto" w:fill="FFFFFF"/>
        </w:rPr>
        <w:t xml:space="preserve">  light pollution</w:t>
      </w:r>
    </w:p>
    <w:p w:rsidR="00F65813" w:rsidRDefault="00EB0B4C">
      <w:pPr>
        <w:pStyle w:val="affe"/>
        <w:ind w:firstLine="420"/>
      </w:pPr>
      <w:r>
        <w:rPr>
          <w:rFonts w:hint="eastAsia"/>
        </w:rPr>
        <w:t>人工光的不利影响</w:t>
      </w:r>
      <w:r>
        <w:rPr>
          <w:rFonts w:hint="eastAsia"/>
        </w:rPr>
        <w:t>总称。</w:t>
      </w:r>
    </w:p>
    <w:p w:rsidR="00F65813" w:rsidRDefault="00EB0B4C">
      <w:pPr>
        <w:pStyle w:val="affe"/>
        <w:ind w:firstLine="420"/>
      </w:pPr>
      <w:bookmarkStart w:id="54" w:name="_Hlk88678008"/>
      <w:r>
        <w:rPr>
          <w:rFonts w:hint="eastAsia"/>
        </w:rPr>
        <w:t>[IEC 60050-845-2020</w:t>
      </w:r>
      <w:r>
        <w:rPr>
          <w:rFonts w:hint="eastAsia"/>
        </w:rPr>
        <w:t>，定义</w:t>
      </w:r>
      <w:r>
        <w:rPr>
          <w:rFonts w:hint="eastAsia"/>
        </w:rPr>
        <w:t>845-29-177]</w:t>
      </w:r>
    </w:p>
    <w:p w:rsidR="00F65813" w:rsidRDefault="00EB0B4C">
      <w:pPr>
        <w:pStyle w:val="a4"/>
        <w:numPr>
          <w:ilvl w:val="0"/>
          <w:numId w:val="0"/>
        </w:numPr>
        <w:spacing w:before="156" w:after="156"/>
        <w:rPr>
          <w:rFonts w:ascii="Times New Roman" w:cs="Times New Roman"/>
        </w:rPr>
      </w:pPr>
      <w:bookmarkStart w:id="55" w:name="_Toc57036595"/>
      <w:bookmarkStart w:id="56" w:name="_Toc71206546"/>
      <w:bookmarkStart w:id="57" w:name="_Toc57194639"/>
      <w:bookmarkStart w:id="58" w:name="_Toc56416227"/>
      <w:bookmarkEnd w:id="54"/>
      <w:bookmarkEnd w:id="55"/>
      <w:bookmarkEnd w:id="56"/>
      <w:bookmarkEnd w:id="57"/>
      <w:bookmarkEnd w:id="58"/>
      <w:r>
        <w:rPr>
          <w:rFonts w:hAnsi="黑体" w:cs="Times New Roman" w:hint="eastAsia"/>
        </w:rPr>
        <w:t>3</w:t>
      </w:r>
      <w:r>
        <w:rPr>
          <w:rFonts w:hAnsi="黑体" w:cs="Times New Roman"/>
        </w:rPr>
        <w:t>.3</w:t>
      </w:r>
    </w:p>
    <w:p w:rsidR="00F65813" w:rsidRDefault="00EB0B4C">
      <w:pPr>
        <w:pStyle w:val="a3"/>
        <w:numPr>
          <w:ilvl w:val="0"/>
          <w:numId w:val="0"/>
        </w:numPr>
        <w:spacing w:beforeLines="0" w:afterLines="0"/>
        <w:ind w:firstLineChars="200" w:firstLine="420"/>
        <w:outlineLvl w:val="9"/>
        <w:rPr>
          <w:rFonts w:hAnsi="黑体" w:cs="Times New Roman"/>
          <w:bCs/>
          <w:color w:val="333333"/>
          <w:shd w:val="clear" w:color="auto" w:fill="FFFFFF"/>
        </w:rPr>
      </w:pPr>
      <w:r>
        <w:rPr>
          <w:rFonts w:hAnsi="黑体" w:cs="Times New Roman" w:hint="eastAsia"/>
          <w:bCs/>
          <w:color w:val="333333"/>
          <w:shd w:val="clear" w:color="auto" w:fill="FFFFFF"/>
        </w:rPr>
        <w:t>溢散光</w:t>
      </w:r>
      <w:r>
        <w:rPr>
          <w:rFonts w:hAnsi="黑体" w:cs="Times New Roman"/>
          <w:bCs/>
          <w:color w:val="333333"/>
          <w:shd w:val="clear" w:color="auto" w:fill="FFFFFF"/>
        </w:rPr>
        <w:t xml:space="preserve">  spill light</w:t>
      </w:r>
      <w:r>
        <w:rPr>
          <w:rFonts w:hAnsi="黑体" w:cs="Times New Roman" w:hint="eastAsia"/>
          <w:bCs/>
          <w:color w:val="333333"/>
          <w:shd w:val="clear" w:color="auto" w:fill="FFFFFF"/>
        </w:rPr>
        <w:t>（</w:t>
      </w:r>
      <w:r>
        <w:rPr>
          <w:rFonts w:hAnsi="黑体" w:cs="Times New Roman"/>
          <w:bCs/>
          <w:color w:val="333333"/>
          <w:shd w:val="clear" w:color="auto" w:fill="FFFFFF"/>
        </w:rPr>
        <w:t>spray light</w:t>
      </w:r>
      <w:r>
        <w:rPr>
          <w:rFonts w:hAnsi="黑体" w:cs="Times New Roman" w:hint="eastAsia"/>
          <w:bCs/>
          <w:color w:val="333333"/>
          <w:shd w:val="clear" w:color="auto" w:fill="FFFFFF"/>
        </w:rPr>
        <w:t>）</w:t>
      </w:r>
    </w:p>
    <w:p w:rsidR="00F65813" w:rsidRDefault="00EB0B4C">
      <w:pPr>
        <w:pStyle w:val="affe"/>
        <w:ind w:firstLine="420"/>
      </w:pPr>
      <w:r>
        <w:rPr>
          <w:rFonts w:hint="eastAsia"/>
        </w:rPr>
        <w:t>照明装置发出的光线中照射到被照目标范围外的部分光线。</w:t>
      </w:r>
    </w:p>
    <w:p w:rsidR="00F65813" w:rsidRDefault="00EB0B4C">
      <w:pPr>
        <w:pStyle w:val="a4"/>
        <w:numPr>
          <w:ilvl w:val="0"/>
          <w:numId w:val="0"/>
        </w:numPr>
        <w:spacing w:before="156" w:after="156"/>
        <w:rPr>
          <w:rFonts w:ascii="Times New Roman" w:cs="Times New Roman"/>
        </w:rPr>
      </w:pPr>
      <w:bookmarkStart w:id="59" w:name="_Toc71206547"/>
      <w:bookmarkStart w:id="60" w:name="_Toc52354283"/>
      <w:bookmarkStart w:id="61" w:name="_Toc57036596"/>
      <w:bookmarkStart w:id="62" w:name="_Toc52361124"/>
      <w:bookmarkStart w:id="63" w:name="_Toc57194640"/>
      <w:bookmarkStart w:id="64" w:name="_Toc56416228"/>
      <w:bookmarkEnd w:id="59"/>
      <w:bookmarkEnd w:id="60"/>
      <w:bookmarkEnd w:id="61"/>
      <w:bookmarkEnd w:id="62"/>
      <w:bookmarkEnd w:id="63"/>
      <w:bookmarkEnd w:id="64"/>
      <w:r>
        <w:rPr>
          <w:rFonts w:hAnsi="黑体" w:cs="Times New Roman" w:hint="eastAsia"/>
        </w:rPr>
        <w:t>3</w:t>
      </w:r>
      <w:r>
        <w:rPr>
          <w:rFonts w:hAnsi="黑体" w:cs="Times New Roman"/>
        </w:rPr>
        <w:t>.4</w:t>
      </w:r>
    </w:p>
    <w:p w:rsidR="00F65813" w:rsidRDefault="00EB0B4C">
      <w:pPr>
        <w:pStyle w:val="a3"/>
        <w:numPr>
          <w:ilvl w:val="0"/>
          <w:numId w:val="0"/>
        </w:numPr>
        <w:spacing w:beforeLines="0" w:afterLines="0"/>
        <w:ind w:firstLineChars="200" w:firstLine="420"/>
        <w:outlineLvl w:val="9"/>
        <w:rPr>
          <w:rFonts w:hAnsi="黑体" w:cs="Times New Roman"/>
        </w:rPr>
      </w:pPr>
      <w:bookmarkStart w:id="65" w:name="_Toc48764285"/>
      <w:bookmarkStart w:id="66" w:name="_Toc48763111"/>
      <w:bookmarkStart w:id="67" w:name="_Toc48571142"/>
      <w:bookmarkStart w:id="68" w:name="_Toc52309663"/>
      <w:r>
        <w:rPr>
          <w:rFonts w:hAnsi="黑体" w:cs="Times New Roman" w:hint="eastAsia"/>
          <w:bCs/>
          <w:color w:val="333333"/>
          <w:shd w:val="clear" w:color="auto" w:fill="FFFFFF"/>
        </w:rPr>
        <w:t>干扰光</w:t>
      </w:r>
      <w:r>
        <w:rPr>
          <w:rFonts w:hAnsi="黑体" w:cs="Times New Roman"/>
          <w:bCs/>
          <w:color w:val="333333"/>
          <w:shd w:val="clear" w:color="auto" w:fill="FFFFFF"/>
        </w:rPr>
        <w:t>obtrusive light</w:t>
      </w:r>
      <w:bookmarkEnd w:id="65"/>
      <w:bookmarkEnd w:id="66"/>
      <w:bookmarkEnd w:id="67"/>
      <w:bookmarkEnd w:id="68"/>
    </w:p>
    <w:p w:rsidR="00F65813" w:rsidRDefault="00F65813">
      <w:pPr>
        <w:pStyle w:val="a3"/>
        <w:numPr>
          <w:ilvl w:val="0"/>
          <w:numId w:val="0"/>
        </w:numPr>
        <w:spacing w:beforeLines="0" w:afterLines="0"/>
        <w:ind w:firstLineChars="200" w:firstLine="420"/>
        <w:outlineLvl w:val="9"/>
        <w:rPr>
          <w:rFonts w:ascii="Times New Roman" w:eastAsia="宋体" w:cs="Times New Roman"/>
        </w:rPr>
      </w:pPr>
      <w:bookmarkStart w:id="69" w:name="_Toc48763112"/>
      <w:bookmarkStart w:id="70" w:name="_Toc52309664"/>
      <w:bookmarkStart w:id="71" w:name="_Toc48764286"/>
      <w:bookmarkStart w:id="72" w:name="_Toc48571143"/>
      <w:r w:rsidRPr="00F65813">
        <w:rPr>
          <w:rFonts w:ascii="Times New Roman" w:eastAsia="宋体" w:cs="Times New Roman" w:hint="eastAsia"/>
        </w:rPr>
        <w:lastRenderedPageBreak/>
        <w:t>由于光的数量、方向或光谱特性，在特定场合中引起人的不舒适、分散注意力或视觉能力下降的溢散光。</w:t>
      </w:r>
      <w:bookmarkEnd w:id="69"/>
      <w:bookmarkEnd w:id="70"/>
      <w:bookmarkEnd w:id="71"/>
      <w:bookmarkEnd w:id="72"/>
    </w:p>
    <w:p w:rsidR="00F65813" w:rsidRDefault="00EB0B4C">
      <w:pPr>
        <w:pStyle w:val="a4"/>
        <w:numPr>
          <w:ilvl w:val="0"/>
          <w:numId w:val="0"/>
        </w:numPr>
        <w:spacing w:before="156" w:after="156"/>
        <w:rPr>
          <w:rFonts w:ascii="Times New Roman" w:cs="Times New Roman"/>
        </w:rPr>
      </w:pPr>
      <w:r>
        <w:rPr>
          <w:rFonts w:hAnsi="黑体" w:cs="Times New Roman" w:hint="eastAsia"/>
        </w:rPr>
        <w:t>3</w:t>
      </w:r>
      <w:r>
        <w:rPr>
          <w:rFonts w:hAnsi="黑体" w:cs="Times New Roman"/>
        </w:rPr>
        <w:t>.5</w:t>
      </w:r>
      <w:bookmarkStart w:id="73" w:name="_Toc52354285"/>
      <w:bookmarkStart w:id="74" w:name="_Toc57036597"/>
      <w:bookmarkStart w:id="75" w:name="_Toc52361126"/>
      <w:bookmarkStart w:id="76" w:name="_Toc71206548"/>
      <w:bookmarkStart w:id="77" w:name="_Toc57194641"/>
      <w:bookmarkStart w:id="78" w:name="_Toc56416229"/>
      <w:bookmarkEnd w:id="73"/>
      <w:bookmarkEnd w:id="74"/>
      <w:bookmarkEnd w:id="75"/>
      <w:bookmarkEnd w:id="76"/>
      <w:bookmarkEnd w:id="77"/>
      <w:bookmarkEnd w:id="78"/>
    </w:p>
    <w:p w:rsidR="00F65813" w:rsidRDefault="00EB0B4C">
      <w:pPr>
        <w:pStyle w:val="a3"/>
        <w:numPr>
          <w:ilvl w:val="0"/>
          <w:numId w:val="0"/>
        </w:numPr>
        <w:spacing w:beforeLines="0" w:afterLines="0"/>
        <w:ind w:firstLineChars="200" w:firstLine="420"/>
        <w:outlineLvl w:val="9"/>
        <w:rPr>
          <w:rFonts w:hAnsi="黑体" w:cs="Times New Roman"/>
          <w:bCs/>
        </w:rPr>
      </w:pPr>
      <w:bookmarkStart w:id="79" w:name="_Toc48763115"/>
      <w:bookmarkStart w:id="80" w:name="_Toc48571160"/>
      <w:bookmarkStart w:id="81" w:name="_Toc48764289"/>
      <w:bookmarkStart w:id="82" w:name="_Toc52309667"/>
      <w:r>
        <w:rPr>
          <w:rFonts w:hAnsi="黑体" w:cs="Times New Roman" w:hint="eastAsia"/>
          <w:bCs/>
          <w:color w:val="333333"/>
          <w:shd w:val="clear" w:color="auto" w:fill="FFFFFF"/>
        </w:rPr>
        <w:t>动态照明</w:t>
      </w:r>
      <w:r>
        <w:rPr>
          <w:rFonts w:hAnsi="黑体" w:cs="Times New Roman"/>
          <w:bCs/>
          <w:color w:val="333333"/>
          <w:shd w:val="clear" w:color="auto" w:fill="FFFFFF"/>
        </w:rPr>
        <w:t xml:space="preserve">  dynamic lighting</w:t>
      </w:r>
      <w:bookmarkEnd w:id="79"/>
      <w:bookmarkEnd w:id="80"/>
      <w:bookmarkEnd w:id="81"/>
      <w:bookmarkEnd w:id="82"/>
    </w:p>
    <w:p w:rsidR="00F65813" w:rsidRDefault="00EB0B4C">
      <w:pPr>
        <w:pStyle w:val="a3"/>
        <w:numPr>
          <w:ilvl w:val="0"/>
          <w:numId w:val="0"/>
        </w:numPr>
        <w:spacing w:beforeLines="0" w:afterLines="0"/>
        <w:ind w:firstLineChars="200" w:firstLine="420"/>
        <w:outlineLvl w:val="9"/>
        <w:rPr>
          <w:rFonts w:ascii="Times New Roman" w:eastAsia="宋体" w:cs="Times New Roman"/>
        </w:rPr>
      </w:pPr>
      <w:bookmarkStart w:id="83" w:name="_Toc48764290"/>
      <w:bookmarkStart w:id="84" w:name="_Toc52309668"/>
      <w:bookmarkStart w:id="85" w:name="_Toc48571161"/>
      <w:bookmarkStart w:id="86" w:name="_Toc48763116"/>
      <w:r>
        <w:rPr>
          <w:rFonts w:ascii="Times New Roman" w:eastAsia="宋体" w:cs="Times New Roman" w:hint="eastAsia"/>
        </w:rPr>
        <w:t>通过对照明装置的光输出的控制形成场景明、暗或色彩等变化的照明方式。</w:t>
      </w:r>
      <w:bookmarkEnd w:id="83"/>
      <w:bookmarkEnd w:id="84"/>
      <w:bookmarkEnd w:id="85"/>
      <w:bookmarkEnd w:id="86"/>
    </w:p>
    <w:p w:rsidR="00F65813" w:rsidRDefault="00EB0B4C">
      <w:pPr>
        <w:pStyle w:val="a4"/>
        <w:numPr>
          <w:ilvl w:val="0"/>
          <w:numId w:val="0"/>
        </w:numPr>
        <w:spacing w:before="156" w:after="156"/>
        <w:rPr>
          <w:rFonts w:ascii="Times New Roman" w:cs="Times New Roman"/>
        </w:rPr>
      </w:pPr>
      <w:bookmarkStart w:id="87" w:name="_Toc57036598"/>
      <w:bookmarkStart w:id="88" w:name="_Toc52361127"/>
      <w:bookmarkStart w:id="89" w:name="_Toc57194642"/>
      <w:bookmarkStart w:id="90" w:name="_Toc71206549"/>
      <w:bookmarkStart w:id="91" w:name="_Toc52354286"/>
      <w:bookmarkStart w:id="92" w:name="_Toc56416230"/>
      <w:bookmarkEnd w:id="87"/>
      <w:bookmarkEnd w:id="88"/>
      <w:bookmarkEnd w:id="89"/>
      <w:bookmarkEnd w:id="90"/>
      <w:bookmarkEnd w:id="91"/>
      <w:bookmarkEnd w:id="92"/>
      <w:r>
        <w:rPr>
          <w:rFonts w:hAnsi="黑体" w:cs="Times New Roman" w:hint="eastAsia"/>
        </w:rPr>
        <w:t>3</w:t>
      </w:r>
      <w:r>
        <w:rPr>
          <w:rFonts w:hAnsi="黑体" w:cs="Times New Roman"/>
        </w:rPr>
        <w:t>.6</w:t>
      </w:r>
    </w:p>
    <w:p w:rsidR="00F65813" w:rsidRDefault="00EB0B4C">
      <w:pPr>
        <w:pStyle w:val="a3"/>
        <w:numPr>
          <w:ilvl w:val="0"/>
          <w:numId w:val="0"/>
        </w:numPr>
        <w:spacing w:beforeLines="0" w:afterLines="0"/>
        <w:ind w:firstLineChars="200" w:firstLine="420"/>
        <w:outlineLvl w:val="9"/>
        <w:rPr>
          <w:rFonts w:hAnsi="黑体" w:cs="Times New Roman"/>
          <w:bCs/>
        </w:rPr>
      </w:pPr>
      <w:bookmarkStart w:id="93" w:name="_Toc48764291"/>
      <w:bookmarkStart w:id="94" w:name="_Toc52309669"/>
      <w:bookmarkStart w:id="95" w:name="_Toc48571169"/>
      <w:bookmarkStart w:id="96" w:name="_Toc48763117"/>
      <w:r>
        <w:rPr>
          <w:rFonts w:hAnsi="黑体" w:cs="Times New Roman" w:hint="eastAsia"/>
          <w:bCs/>
          <w:color w:val="333333"/>
          <w:shd w:val="clear" w:color="auto" w:fill="FFFFFF"/>
        </w:rPr>
        <w:t>上射光通比</w:t>
      </w:r>
      <w:r>
        <w:rPr>
          <w:rFonts w:hAnsi="黑体" w:cs="Times New Roman"/>
          <w:bCs/>
        </w:rPr>
        <w:t>upward light output ratio</w:t>
      </w:r>
      <w:bookmarkEnd w:id="93"/>
      <w:bookmarkEnd w:id="94"/>
      <w:bookmarkEnd w:id="95"/>
      <w:bookmarkEnd w:id="96"/>
    </w:p>
    <w:p w:rsidR="00F65813" w:rsidRDefault="00EB0B4C">
      <w:pPr>
        <w:pStyle w:val="a3"/>
        <w:numPr>
          <w:ilvl w:val="0"/>
          <w:numId w:val="0"/>
        </w:numPr>
        <w:spacing w:beforeLines="0" w:afterLines="0"/>
        <w:ind w:firstLineChars="200" w:firstLine="420"/>
        <w:outlineLvl w:val="9"/>
        <w:rPr>
          <w:rFonts w:ascii="Times New Roman" w:eastAsia="宋体" w:cs="Times New Roman"/>
        </w:rPr>
      </w:pPr>
      <w:bookmarkStart w:id="97" w:name="_Toc48763118"/>
      <w:bookmarkStart w:id="98" w:name="_Toc48764292"/>
      <w:bookmarkStart w:id="99" w:name="_Toc52309670"/>
      <w:bookmarkStart w:id="100" w:name="_Toc48571170"/>
      <w:r>
        <w:rPr>
          <w:rFonts w:ascii="Times New Roman" w:eastAsia="宋体" w:cs="Times New Roman" w:hint="eastAsia"/>
        </w:rPr>
        <w:t>当灯具安装在规定的设计位置时，灯具发射到水平面以上的光通量与灯具中全部光源发出的总光通量之比。</w:t>
      </w:r>
      <w:bookmarkStart w:id="101" w:name="_Toc52361128"/>
      <w:bookmarkStart w:id="102" w:name="_Toc71206550"/>
      <w:bookmarkStart w:id="103" w:name="_Toc56416231"/>
      <w:bookmarkStart w:id="104" w:name="_Toc57036599"/>
      <w:bookmarkStart w:id="105" w:name="_Toc52354287"/>
      <w:bookmarkStart w:id="106" w:name="_Toc57194643"/>
      <w:bookmarkEnd w:id="97"/>
      <w:bookmarkEnd w:id="98"/>
      <w:bookmarkEnd w:id="99"/>
      <w:bookmarkEnd w:id="100"/>
      <w:bookmarkEnd w:id="101"/>
      <w:bookmarkEnd w:id="102"/>
      <w:bookmarkEnd w:id="103"/>
      <w:bookmarkEnd w:id="104"/>
      <w:bookmarkEnd w:id="105"/>
      <w:bookmarkEnd w:id="106"/>
    </w:p>
    <w:p w:rsidR="00F65813" w:rsidRDefault="00EB0B4C">
      <w:pPr>
        <w:pStyle w:val="a4"/>
        <w:numPr>
          <w:ilvl w:val="0"/>
          <w:numId w:val="0"/>
        </w:numPr>
        <w:spacing w:before="156" w:after="156"/>
        <w:rPr>
          <w:rFonts w:ascii="Times New Roman" w:cs="Times New Roman"/>
        </w:rPr>
      </w:pPr>
      <w:bookmarkStart w:id="107" w:name="_Toc52361129"/>
      <w:bookmarkStart w:id="108" w:name="_Toc56416232"/>
      <w:bookmarkStart w:id="109" w:name="_Toc52354288"/>
      <w:bookmarkStart w:id="110" w:name="_Toc71206551"/>
      <w:bookmarkStart w:id="111" w:name="_Toc57036600"/>
      <w:bookmarkStart w:id="112" w:name="_Toc57194644"/>
      <w:bookmarkEnd w:id="107"/>
      <w:bookmarkEnd w:id="108"/>
      <w:bookmarkEnd w:id="109"/>
      <w:bookmarkEnd w:id="110"/>
      <w:bookmarkEnd w:id="111"/>
      <w:bookmarkEnd w:id="112"/>
      <w:r>
        <w:rPr>
          <w:rFonts w:hAnsi="黑体" w:cs="Times New Roman" w:hint="eastAsia"/>
        </w:rPr>
        <w:t>3</w:t>
      </w:r>
      <w:r>
        <w:rPr>
          <w:rFonts w:hAnsi="黑体" w:cs="Times New Roman"/>
        </w:rPr>
        <w:t>.7</w:t>
      </w:r>
    </w:p>
    <w:p w:rsidR="00F65813" w:rsidRDefault="00EB0B4C">
      <w:pPr>
        <w:pStyle w:val="a3"/>
        <w:numPr>
          <w:ilvl w:val="0"/>
          <w:numId w:val="0"/>
        </w:numPr>
        <w:spacing w:beforeLines="0" w:afterLines="0"/>
        <w:ind w:firstLineChars="200" w:firstLine="420"/>
        <w:outlineLvl w:val="9"/>
        <w:rPr>
          <w:rFonts w:hAnsi="黑体" w:cs="Times New Roman"/>
          <w:bCs/>
        </w:rPr>
      </w:pPr>
      <w:bookmarkStart w:id="113" w:name="_Toc52309673"/>
      <w:bookmarkStart w:id="114" w:name="_Toc48764295"/>
      <w:bookmarkStart w:id="115" w:name="_Toc48571178"/>
      <w:bookmarkStart w:id="116" w:name="_Toc48763121"/>
      <w:r>
        <w:rPr>
          <w:rFonts w:hAnsi="黑体" w:cs="Times New Roman" w:hint="eastAsia"/>
          <w:bCs/>
          <w:color w:val="333333"/>
          <w:shd w:val="clear" w:color="auto" w:fill="FFFFFF"/>
        </w:rPr>
        <w:t>眩光</w:t>
      </w:r>
      <w:r>
        <w:rPr>
          <w:rFonts w:hAnsi="黑体" w:cs="Times New Roman"/>
          <w:bCs/>
        </w:rPr>
        <w:t>glare</w:t>
      </w:r>
      <w:bookmarkEnd w:id="113"/>
      <w:bookmarkEnd w:id="114"/>
      <w:bookmarkEnd w:id="115"/>
      <w:bookmarkEnd w:id="116"/>
    </w:p>
    <w:p w:rsidR="00F65813" w:rsidRDefault="00EB0B4C">
      <w:pPr>
        <w:pStyle w:val="a3"/>
        <w:numPr>
          <w:ilvl w:val="0"/>
          <w:numId w:val="0"/>
        </w:numPr>
        <w:spacing w:beforeLines="0" w:afterLines="0"/>
        <w:ind w:firstLineChars="200" w:firstLine="420"/>
        <w:outlineLvl w:val="9"/>
        <w:rPr>
          <w:rFonts w:ascii="Times New Roman" w:eastAsia="宋体" w:cs="Times New Roman"/>
        </w:rPr>
      </w:pPr>
      <w:bookmarkStart w:id="117" w:name="_Toc52309674"/>
      <w:bookmarkStart w:id="118" w:name="_Toc48764296"/>
      <w:bookmarkStart w:id="119" w:name="_Toc48571179"/>
      <w:bookmarkStart w:id="120" w:name="_Toc48763122"/>
      <w:r>
        <w:rPr>
          <w:rFonts w:ascii="Times New Roman" w:eastAsia="宋体" w:cs="Times New Roman" w:hint="eastAsia"/>
        </w:rPr>
        <w:t>由于视野中的亮度分布或亮度范围的不适宜，或存在极端的对比，以致引起不舒适感觉或降低观察细部或目标的能力的视觉现象。</w:t>
      </w:r>
      <w:bookmarkStart w:id="121" w:name="_Toc56416233"/>
      <w:bookmarkStart w:id="122" w:name="_Toc71206552"/>
      <w:bookmarkStart w:id="123" w:name="_Toc52354289"/>
      <w:bookmarkStart w:id="124" w:name="_Toc57194645"/>
      <w:bookmarkStart w:id="125" w:name="_Toc57036601"/>
      <w:bookmarkStart w:id="126" w:name="_Toc52361130"/>
      <w:bookmarkEnd w:id="117"/>
      <w:bookmarkEnd w:id="118"/>
      <w:bookmarkEnd w:id="119"/>
      <w:bookmarkEnd w:id="120"/>
      <w:bookmarkEnd w:id="121"/>
      <w:bookmarkEnd w:id="122"/>
      <w:bookmarkEnd w:id="123"/>
      <w:bookmarkEnd w:id="124"/>
      <w:bookmarkEnd w:id="125"/>
      <w:bookmarkEnd w:id="126"/>
    </w:p>
    <w:p w:rsidR="00F65813" w:rsidRDefault="00EB0B4C">
      <w:pPr>
        <w:pStyle w:val="a4"/>
        <w:numPr>
          <w:ilvl w:val="0"/>
          <w:numId w:val="0"/>
        </w:numPr>
        <w:spacing w:before="156" w:after="156"/>
        <w:rPr>
          <w:rFonts w:ascii="Times New Roman" w:cs="Times New Roman"/>
        </w:rPr>
      </w:pPr>
      <w:bookmarkStart w:id="127" w:name="_Toc57194646"/>
      <w:bookmarkStart w:id="128" w:name="_Toc52354290"/>
      <w:bookmarkStart w:id="129" w:name="_Toc57036602"/>
      <w:bookmarkStart w:id="130" w:name="_Toc56416234"/>
      <w:bookmarkStart w:id="131" w:name="_Toc52361131"/>
      <w:bookmarkStart w:id="132" w:name="_Toc71206553"/>
      <w:bookmarkEnd w:id="127"/>
      <w:bookmarkEnd w:id="128"/>
      <w:bookmarkEnd w:id="129"/>
      <w:bookmarkEnd w:id="130"/>
      <w:bookmarkEnd w:id="131"/>
      <w:bookmarkEnd w:id="132"/>
      <w:r>
        <w:rPr>
          <w:rFonts w:hAnsi="黑体" w:cs="Times New Roman" w:hint="eastAsia"/>
        </w:rPr>
        <w:t>3</w:t>
      </w:r>
      <w:r>
        <w:rPr>
          <w:rFonts w:hAnsi="黑体" w:cs="Times New Roman"/>
        </w:rPr>
        <w:t>.8</w:t>
      </w:r>
    </w:p>
    <w:p w:rsidR="00F65813" w:rsidRDefault="00EB0B4C">
      <w:pPr>
        <w:pStyle w:val="a3"/>
        <w:numPr>
          <w:ilvl w:val="0"/>
          <w:numId w:val="0"/>
        </w:numPr>
        <w:spacing w:beforeLines="0" w:afterLines="0"/>
        <w:ind w:firstLineChars="200" w:firstLine="420"/>
        <w:outlineLvl w:val="9"/>
        <w:rPr>
          <w:rFonts w:hAnsi="黑体" w:cs="Times New Roman"/>
        </w:rPr>
      </w:pPr>
      <w:r>
        <w:rPr>
          <w:rFonts w:hAnsi="黑体" w:cs="Times New Roman" w:hint="eastAsia"/>
          <w:bCs/>
          <w:color w:val="333333"/>
          <w:shd w:val="clear" w:color="auto" w:fill="FFFFFF"/>
        </w:rPr>
        <w:t>媒体立面照明</w:t>
      </w:r>
      <w:r>
        <w:rPr>
          <w:rFonts w:hAnsi="黑体" w:cs="Times New Roman"/>
          <w:bCs/>
          <w:color w:val="333333"/>
          <w:shd w:val="clear" w:color="auto" w:fill="FFFFFF"/>
        </w:rPr>
        <w:t xml:space="preserve">  media facade lighting</w:t>
      </w:r>
    </w:p>
    <w:p w:rsidR="00F65813" w:rsidRDefault="00EB0B4C">
      <w:pPr>
        <w:pStyle w:val="a3"/>
        <w:numPr>
          <w:ilvl w:val="0"/>
          <w:numId w:val="0"/>
        </w:numPr>
        <w:spacing w:beforeLines="0" w:afterLines="0"/>
        <w:ind w:firstLineChars="200" w:firstLine="420"/>
        <w:outlineLvl w:val="9"/>
        <w:rPr>
          <w:rFonts w:ascii="Times New Roman" w:eastAsia="宋体" w:cs="Times New Roman"/>
        </w:rPr>
      </w:pPr>
      <w:r>
        <w:rPr>
          <w:rFonts w:ascii="Times New Roman" w:eastAsia="宋体" w:cs="Times New Roman" w:hint="eastAsia"/>
        </w:rPr>
        <w:t>基于数字技术传达视觉信息，与建（构）筑物立面相结合的景观照明方式。</w:t>
      </w:r>
    </w:p>
    <w:p w:rsidR="00F65813" w:rsidRDefault="00EB0B4C">
      <w:pPr>
        <w:pStyle w:val="a4"/>
        <w:numPr>
          <w:ilvl w:val="0"/>
          <w:numId w:val="0"/>
        </w:numPr>
        <w:spacing w:before="156" w:after="156"/>
        <w:rPr>
          <w:rFonts w:ascii="Times New Roman" w:cs="Times New Roman"/>
        </w:rPr>
      </w:pPr>
      <w:r>
        <w:rPr>
          <w:rFonts w:hAnsi="黑体" w:cs="Times New Roman" w:hint="eastAsia"/>
        </w:rPr>
        <w:t>3</w:t>
      </w:r>
      <w:r>
        <w:rPr>
          <w:rFonts w:hAnsi="黑体" w:cs="Times New Roman"/>
        </w:rPr>
        <w:t>.9</w:t>
      </w:r>
    </w:p>
    <w:p w:rsidR="00F65813" w:rsidRDefault="00EB0B4C">
      <w:pPr>
        <w:pStyle w:val="a3"/>
        <w:numPr>
          <w:ilvl w:val="0"/>
          <w:numId w:val="0"/>
        </w:numPr>
        <w:spacing w:beforeLines="0" w:afterLines="0"/>
        <w:ind w:firstLineChars="200" w:firstLine="420"/>
        <w:outlineLvl w:val="9"/>
        <w:rPr>
          <w:rFonts w:hAnsi="黑体" w:cs="Times New Roman"/>
        </w:rPr>
      </w:pPr>
      <w:r>
        <w:rPr>
          <w:rFonts w:hAnsi="黑体" w:cs="Times New Roman" w:hint="eastAsia"/>
          <w:bCs/>
          <w:color w:val="333333"/>
          <w:shd w:val="clear" w:color="auto" w:fill="FFFFFF"/>
        </w:rPr>
        <w:t>主波长</w:t>
      </w:r>
      <w:r>
        <w:rPr>
          <w:rFonts w:hAnsi="黑体" w:cs="Times New Roman"/>
          <w:bCs/>
          <w:color w:val="333333"/>
          <w:shd w:val="clear" w:color="auto" w:fill="FFFFFF"/>
        </w:rPr>
        <w:t xml:space="preserve">  dominant wavelength</w:t>
      </w:r>
    </w:p>
    <w:p w:rsidR="00F65813" w:rsidRDefault="00EB0B4C">
      <w:pPr>
        <w:pStyle w:val="a3"/>
        <w:numPr>
          <w:ilvl w:val="0"/>
          <w:numId w:val="0"/>
        </w:numPr>
        <w:spacing w:beforeLines="0" w:afterLines="0"/>
        <w:ind w:firstLineChars="200" w:firstLine="420"/>
        <w:outlineLvl w:val="9"/>
        <w:rPr>
          <w:rFonts w:ascii="Times New Roman" w:eastAsia="宋体" w:cs="Times New Roman"/>
        </w:rPr>
      </w:pPr>
      <w:r>
        <w:rPr>
          <w:rFonts w:ascii="Times New Roman" w:eastAsia="宋体" w:cs="Times New Roman" w:hint="eastAsia"/>
        </w:rPr>
        <w:t>为一单色刺激的波长，该单色刺激与规定的非彩色刺激按适当比例相加混合，以与所考虑的色刺激相匹配。</w:t>
      </w:r>
    </w:p>
    <w:p w:rsidR="00F65813" w:rsidRDefault="00EB0B4C">
      <w:pPr>
        <w:pStyle w:val="a4"/>
        <w:numPr>
          <w:ilvl w:val="0"/>
          <w:numId w:val="0"/>
        </w:numPr>
        <w:spacing w:before="156" w:after="156"/>
        <w:rPr>
          <w:rFonts w:ascii="Times New Roman" w:cs="Times New Roman"/>
        </w:rPr>
      </w:pPr>
      <w:r>
        <w:rPr>
          <w:rFonts w:hAnsi="黑体" w:cs="Times New Roman" w:hint="eastAsia"/>
        </w:rPr>
        <w:t>3</w:t>
      </w:r>
      <w:r>
        <w:rPr>
          <w:rFonts w:hAnsi="黑体" w:cs="Times New Roman"/>
        </w:rPr>
        <w:t>.10</w:t>
      </w:r>
    </w:p>
    <w:p w:rsidR="00F65813" w:rsidRDefault="00EB0B4C">
      <w:pPr>
        <w:pStyle w:val="a3"/>
        <w:numPr>
          <w:ilvl w:val="0"/>
          <w:numId w:val="0"/>
        </w:numPr>
        <w:spacing w:beforeLines="0" w:afterLines="0"/>
        <w:ind w:firstLineChars="200" w:firstLine="420"/>
        <w:outlineLvl w:val="9"/>
        <w:rPr>
          <w:rFonts w:hAnsi="黑体" w:cs="Times New Roman"/>
        </w:rPr>
      </w:pPr>
      <w:r>
        <w:rPr>
          <w:rFonts w:hAnsi="黑体" w:cs="Times New Roman" w:hint="eastAsia"/>
          <w:bCs/>
          <w:color w:val="333333"/>
          <w:shd w:val="clear" w:color="auto" w:fill="FFFFFF"/>
        </w:rPr>
        <w:t>激发纯度</w:t>
      </w:r>
      <w:r>
        <w:rPr>
          <w:rFonts w:hAnsi="黑体" w:cs="Times New Roman"/>
          <w:bCs/>
          <w:color w:val="333333"/>
          <w:shd w:val="clear" w:color="auto" w:fill="FFFFFF"/>
        </w:rPr>
        <w:t>;</w:t>
      </w:r>
      <w:r>
        <w:rPr>
          <w:rFonts w:hAnsi="黑体" w:cs="Times New Roman" w:hint="eastAsia"/>
          <w:bCs/>
          <w:color w:val="333333"/>
          <w:shd w:val="clear" w:color="auto" w:fill="FFFFFF"/>
        </w:rPr>
        <w:t>兴奋纯度</w:t>
      </w:r>
      <w:r>
        <w:rPr>
          <w:rFonts w:hAnsi="黑体" w:cs="Times New Roman"/>
          <w:bCs/>
          <w:color w:val="333333"/>
          <w:shd w:val="clear" w:color="auto" w:fill="FFFFFF"/>
        </w:rPr>
        <w:t xml:space="preserve">  excitation purity</w:t>
      </w:r>
    </w:p>
    <w:p w:rsidR="00F65813" w:rsidRDefault="00EB0B4C">
      <w:pPr>
        <w:pStyle w:val="a3"/>
        <w:numPr>
          <w:ilvl w:val="0"/>
          <w:numId w:val="0"/>
        </w:numPr>
        <w:spacing w:beforeLines="0" w:afterLines="0"/>
        <w:ind w:firstLineChars="200" w:firstLine="420"/>
        <w:outlineLvl w:val="9"/>
        <w:rPr>
          <w:rFonts w:ascii="宋体" w:eastAsia="宋体" w:hAnsi="宋体" w:cs="Times New Roman"/>
        </w:rPr>
      </w:pPr>
      <w:r>
        <w:rPr>
          <w:rFonts w:ascii="宋体" w:eastAsia="宋体" w:hAnsi="宋体" w:cs="Times New Roman" w:hint="eastAsia"/>
        </w:rPr>
        <w:t>在</w:t>
      </w:r>
      <w:r>
        <w:rPr>
          <w:rFonts w:ascii="宋体" w:eastAsia="宋体" w:hAnsi="宋体" w:cs="Times New Roman"/>
        </w:rPr>
        <w:t>CIE xy</w:t>
      </w:r>
      <w:r>
        <w:rPr>
          <w:rFonts w:ascii="宋体" w:eastAsia="宋体" w:hAnsi="宋体" w:cs="Times New Roman" w:hint="eastAsia"/>
        </w:rPr>
        <w:t>色品图上，从等能白点</w:t>
      </w:r>
      <w:r>
        <w:rPr>
          <w:rFonts w:ascii="宋体" w:eastAsia="宋体" w:hAnsi="宋体" w:cs="Times New Roman"/>
        </w:rPr>
        <w:t>(x=0.333</w:t>
      </w:r>
      <w:r>
        <w:rPr>
          <w:rFonts w:ascii="宋体" w:eastAsia="宋体" w:hAnsi="宋体" w:cs="Times New Roman" w:hint="eastAsia"/>
        </w:rPr>
        <w:t>，</w:t>
      </w:r>
      <w:r>
        <w:rPr>
          <w:rFonts w:ascii="宋体" w:eastAsia="宋体" w:hAnsi="宋体" w:cs="Times New Roman"/>
        </w:rPr>
        <w:t>y=0.333</w:t>
      </w:r>
      <w:r>
        <w:rPr>
          <w:rFonts w:ascii="宋体" w:eastAsia="宋体" w:hAnsi="宋体" w:cs="Times New Roman"/>
        </w:rPr>
        <w:t>）</w:t>
      </w:r>
      <w:r>
        <w:rPr>
          <w:rFonts w:ascii="宋体" w:eastAsia="宋体" w:hAnsi="宋体" w:cs="Times New Roman" w:hint="eastAsia"/>
        </w:rPr>
        <w:t>到光源色坐标点的距离与从等能白点到光源主波长点的距离之比。</w:t>
      </w:r>
    </w:p>
    <w:p w:rsidR="00F65813" w:rsidRDefault="00EB0B4C">
      <w:pPr>
        <w:pStyle w:val="a3"/>
        <w:numPr>
          <w:ilvl w:val="0"/>
          <w:numId w:val="0"/>
        </w:numPr>
        <w:spacing w:before="312" w:after="312"/>
        <w:rPr>
          <w:rFonts w:ascii="Times New Roman" w:cs="Times New Roman"/>
        </w:rPr>
      </w:pPr>
      <w:bookmarkStart w:id="133" w:name="_Toc57036604"/>
      <w:bookmarkStart w:id="134" w:name="_Toc57036605"/>
      <w:bookmarkStart w:id="135" w:name="_Toc56416236"/>
      <w:bookmarkStart w:id="136" w:name="_Toc71206556"/>
      <w:bookmarkStart w:id="137" w:name="_Toc57036603"/>
      <w:bookmarkStart w:id="138" w:name="_Toc56416237"/>
      <w:bookmarkStart w:id="139" w:name="_Toc57194648"/>
      <w:bookmarkStart w:id="140" w:name="_Toc71206555"/>
      <w:bookmarkStart w:id="141" w:name="_Toc57194649"/>
      <w:bookmarkStart w:id="142" w:name="_Toc57194647"/>
      <w:bookmarkStart w:id="143" w:name="_Toc56416235"/>
      <w:bookmarkStart w:id="144" w:name="_Toc71206554"/>
      <w:bookmarkEnd w:id="133"/>
      <w:bookmarkEnd w:id="134"/>
      <w:bookmarkEnd w:id="135"/>
      <w:bookmarkEnd w:id="136"/>
      <w:bookmarkEnd w:id="137"/>
      <w:bookmarkEnd w:id="138"/>
      <w:bookmarkEnd w:id="139"/>
      <w:bookmarkEnd w:id="140"/>
      <w:bookmarkEnd w:id="141"/>
      <w:bookmarkEnd w:id="142"/>
      <w:bookmarkEnd w:id="143"/>
      <w:bookmarkEnd w:id="144"/>
      <w:r>
        <w:rPr>
          <w:rFonts w:ascii="Times New Roman" w:cs="Times New Roman"/>
        </w:rPr>
        <w:t xml:space="preserve">4   </w:t>
      </w:r>
      <w:r>
        <w:rPr>
          <w:rFonts w:ascii="Times New Roman" w:cs="Times New Roman" w:hint="eastAsia"/>
        </w:rPr>
        <w:t>基本规定</w:t>
      </w:r>
    </w:p>
    <w:p w:rsidR="00F65813" w:rsidRDefault="00EB0B4C">
      <w:pPr>
        <w:pStyle w:val="a4"/>
        <w:numPr>
          <w:ilvl w:val="0"/>
          <w:numId w:val="0"/>
        </w:numPr>
        <w:spacing w:before="156" w:after="156"/>
        <w:rPr>
          <w:rFonts w:ascii="Times New Roman" w:cs="Times New Roman"/>
        </w:rPr>
      </w:pPr>
      <w:bookmarkStart w:id="145" w:name="_Toc71206558"/>
      <w:r>
        <w:rPr>
          <w:rFonts w:hAnsi="黑体" w:cs="Times New Roman"/>
        </w:rPr>
        <w:t xml:space="preserve">4.1 </w:t>
      </w:r>
      <w:r>
        <w:rPr>
          <w:rFonts w:ascii="Times New Roman" w:cs="Times New Roman" w:hint="eastAsia"/>
        </w:rPr>
        <w:t>一般要求</w:t>
      </w:r>
      <w:bookmarkEnd w:id="145"/>
    </w:p>
    <w:p w:rsidR="00F65813" w:rsidRDefault="00EB0B4C">
      <w:pPr>
        <w:pStyle w:val="a4"/>
        <w:numPr>
          <w:ilvl w:val="0"/>
          <w:numId w:val="0"/>
        </w:numPr>
        <w:spacing w:before="156" w:after="156"/>
        <w:rPr>
          <w:rFonts w:ascii="Times New Roman" w:eastAsia="宋体"/>
        </w:rPr>
      </w:pPr>
      <w:r>
        <w:rPr>
          <w:rFonts w:hAnsi="黑体" w:hint="eastAsia"/>
        </w:rPr>
        <w:t>4</w:t>
      </w:r>
      <w:r>
        <w:rPr>
          <w:rFonts w:hAnsi="黑体"/>
        </w:rPr>
        <w:t>.1.1</w:t>
      </w:r>
      <w:r>
        <w:rPr>
          <w:rFonts w:ascii="Times New Roman" w:eastAsia="宋体" w:hint="eastAsia"/>
        </w:rPr>
        <w:t>设置景观照明应符合《上海市景观照明管理办法》《上海市城市容貌规范》《上海市景观照明总体规划》以及相关规划实施方案和本规范的要求。重大工程的景观照明建设，还应由建设单位委托专业机构，细化其建设的指标体系及技术要求。本市景观照明核心区域、重要区域、重要单体建（构）筑物以及其他区域设置景观照明的，应当同时符合文物保护单位、历史风貌区和优秀历史建筑的保护管理要求。</w:t>
      </w:r>
    </w:p>
    <w:p w:rsidR="00F65813" w:rsidRDefault="00EB0B4C">
      <w:pPr>
        <w:pStyle w:val="a5"/>
        <w:numPr>
          <w:ilvl w:val="0"/>
          <w:numId w:val="0"/>
        </w:numPr>
        <w:spacing w:before="156" w:after="156"/>
        <w:jc w:val="both"/>
        <w:rPr>
          <w:rFonts w:ascii="Times New Roman" w:eastAsia="宋体" w:cs="Times New Roman"/>
        </w:rPr>
      </w:pPr>
      <w:r>
        <w:rPr>
          <w:rFonts w:hAnsi="黑体" w:hint="eastAsia"/>
        </w:rPr>
        <w:t>4</w:t>
      </w:r>
      <w:r>
        <w:rPr>
          <w:rFonts w:hAnsi="黑体"/>
        </w:rPr>
        <w:t xml:space="preserve">.1.2 </w:t>
      </w:r>
      <w:r>
        <w:rPr>
          <w:rFonts w:ascii="Times New Roman" w:eastAsia="宋体" w:hint="eastAsia"/>
        </w:rPr>
        <w:t>设置景观照明应根据所处区域的亮度分区、风貌特征、夜间使用频率、人流密集程度、载体重要程度以及周边环境等要素，统筹考虑，合理设计。</w:t>
      </w:r>
    </w:p>
    <w:p w:rsidR="00F65813" w:rsidRDefault="00EB0B4C">
      <w:pPr>
        <w:pStyle w:val="a5"/>
        <w:numPr>
          <w:ilvl w:val="0"/>
          <w:numId w:val="0"/>
        </w:numPr>
        <w:spacing w:beforeLines="0" w:afterLines="0"/>
        <w:jc w:val="both"/>
        <w:rPr>
          <w:rFonts w:ascii="Times New Roman" w:eastAsia="宋体"/>
        </w:rPr>
      </w:pPr>
      <w:r>
        <w:rPr>
          <w:rFonts w:hAnsi="黑体" w:hint="eastAsia"/>
        </w:rPr>
        <w:lastRenderedPageBreak/>
        <w:t>4</w:t>
      </w:r>
      <w:r>
        <w:rPr>
          <w:rFonts w:hAnsi="黑体"/>
        </w:rPr>
        <w:t>.1.3</w:t>
      </w:r>
      <w:r>
        <w:rPr>
          <w:rFonts w:hAnsi="黑体"/>
        </w:rPr>
        <w:t xml:space="preserve"> </w:t>
      </w:r>
      <w:r>
        <w:rPr>
          <w:rFonts w:ascii="Times New Roman" w:eastAsia="宋体" w:hint="eastAsia"/>
        </w:rPr>
        <w:t>设置景观照明应慎重选择彩色光。采用彩色光时，光色应与被照对象和所在区域的特征相协调，且不应与交通、航运等标识信号灯造成视觉上的混淆。</w:t>
      </w:r>
    </w:p>
    <w:p w:rsidR="00F65813" w:rsidRDefault="00EB0B4C">
      <w:pPr>
        <w:pStyle w:val="a5"/>
        <w:numPr>
          <w:ilvl w:val="0"/>
          <w:numId w:val="0"/>
        </w:numPr>
        <w:spacing w:beforeLines="0" w:afterLines="0"/>
        <w:jc w:val="both"/>
      </w:pPr>
      <w:r>
        <w:rPr>
          <w:rFonts w:hAnsi="黑体" w:hint="eastAsia"/>
        </w:rPr>
        <w:t>4</w:t>
      </w:r>
      <w:r>
        <w:rPr>
          <w:rFonts w:hAnsi="黑体"/>
        </w:rPr>
        <w:t xml:space="preserve">.1.4 </w:t>
      </w:r>
      <w:r>
        <w:rPr>
          <w:rFonts w:ascii="Times New Roman" w:eastAsia="宋体" w:hint="eastAsia"/>
        </w:rPr>
        <w:t>设置景观照明应根据环境条件和安装方式采取相应的安全防范措施，不应影响园林、古建筑等自然和历史文化遗产的保护。</w:t>
      </w:r>
    </w:p>
    <w:p w:rsidR="00F65813" w:rsidRDefault="00EB0B4C">
      <w:pPr>
        <w:pStyle w:val="a5"/>
        <w:numPr>
          <w:ilvl w:val="0"/>
          <w:numId w:val="0"/>
        </w:numPr>
        <w:spacing w:beforeLines="0" w:afterLines="0"/>
        <w:jc w:val="both"/>
        <w:rPr>
          <w:rFonts w:hAnsi="黑体"/>
        </w:rPr>
      </w:pPr>
      <w:r>
        <w:rPr>
          <w:rFonts w:hAnsi="黑体" w:hint="eastAsia"/>
        </w:rPr>
        <w:t>4</w:t>
      </w:r>
      <w:r>
        <w:rPr>
          <w:rFonts w:hAnsi="黑体"/>
        </w:rPr>
        <w:t>.1.5</w:t>
      </w:r>
      <w:r>
        <w:rPr>
          <w:rFonts w:ascii="Times New Roman" w:eastAsia="宋体" w:hint="eastAsia"/>
        </w:rPr>
        <w:t>设置景观照明应遵循以人为本、保护生态的原则，控制溢散光，限制干扰光，防止光污染，保障人居环境健康，保护城市生态环境。</w:t>
      </w:r>
    </w:p>
    <w:p w:rsidR="00F65813" w:rsidRDefault="00EB0B4C">
      <w:pPr>
        <w:pStyle w:val="a4"/>
        <w:numPr>
          <w:ilvl w:val="0"/>
          <w:numId w:val="0"/>
        </w:numPr>
        <w:spacing w:before="156" w:after="156"/>
        <w:rPr>
          <w:rFonts w:ascii="Times New Roman" w:cs="Times New Roman"/>
        </w:rPr>
      </w:pPr>
      <w:bookmarkStart w:id="146" w:name="_Toc71206559"/>
      <w:r>
        <w:rPr>
          <w:rFonts w:hAnsi="黑体" w:hint="eastAsia"/>
        </w:rPr>
        <w:t>4</w:t>
      </w:r>
      <w:r>
        <w:rPr>
          <w:rFonts w:hAnsi="黑体"/>
        </w:rPr>
        <w:t xml:space="preserve">.2  </w:t>
      </w:r>
      <w:r>
        <w:rPr>
          <w:rFonts w:ascii="Times New Roman" w:cs="Times New Roman" w:hint="eastAsia"/>
        </w:rPr>
        <w:t>亮度分区及要求</w:t>
      </w:r>
      <w:bookmarkEnd w:id="146"/>
    </w:p>
    <w:p w:rsidR="00F65813" w:rsidRDefault="00EB0B4C">
      <w:pPr>
        <w:pStyle w:val="a5"/>
        <w:numPr>
          <w:ilvl w:val="0"/>
          <w:numId w:val="0"/>
        </w:numPr>
        <w:spacing w:before="156" w:after="156"/>
        <w:jc w:val="both"/>
        <w:rPr>
          <w:rFonts w:ascii="宋体" w:eastAsia="宋体" w:hAnsi="宋体"/>
        </w:rPr>
      </w:pPr>
      <w:r>
        <w:rPr>
          <w:rFonts w:hAnsi="黑体" w:hint="eastAsia"/>
        </w:rPr>
        <w:t>4</w:t>
      </w:r>
      <w:r>
        <w:rPr>
          <w:rFonts w:hAnsi="黑体"/>
        </w:rPr>
        <w:t xml:space="preserve">.2.1 </w:t>
      </w:r>
      <w:r>
        <w:rPr>
          <w:rFonts w:ascii="宋体" w:eastAsia="宋体" w:hAnsi="宋体" w:hint="eastAsia"/>
        </w:rPr>
        <w:t>景观照明应根据区位功能性质，按照环境（背景）亮度等级进行划分，见表</w:t>
      </w:r>
      <w:r>
        <w:rPr>
          <w:rFonts w:ascii="宋体" w:eastAsia="宋体" w:hAnsi="宋体"/>
        </w:rPr>
        <w:t>1</w:t>
      </w:r>
      <w:r>
        <w:rPr>
          <w:rFonts w:ascii="宋体" w:eastAsia="宋体" w:hAnsi="宋体" w:hint="eastAsia"/>
        </w:rPr>
        <w:t>。</w:t>
      </w:r>
    </w:p>
    <w:p w:rsidR="00F65813" w:rsidRDefault="00EB0B4C">
      <w:pPr>
        <w:pStyle w:val="af4"/>
        <w:widowControl w:val="0"/>
        <w:numPr>
          <w:ilvl w:val="0"/>
          <w:numId w:val="0"/>
        </w:numPr>
        <w:tabs>
          <w:tab w:val="left" w:pos="360"/>
        </w:tabs>
        <w:spacing w:before="156" w:after="156"/>
        <w:rPr>
          <w:rFonts w:hAnsi="黑体" w:cs="Times New Roman"/>
        </w:rPr>
      </w:pPr>
      <w:r>
        <w:rPr>
          <w:rFonts w:hAnsi="黑体" w:cs="Times New Roman" w:hint="eastAsia"/>
        </w:rPr>
        <w:t>表</w:t>
      </w:r>
      <w:r>
        <w:rPr>
          <w:rFonts w:hAnsi="黑体" w:cs="Times New Roman"/>
        </w:rPr>
        <w:t xml:space="preserve">1  </w:t>
      </w:r>
      <w:r>
        <w:rPr>
          <w:rFonts w:hAnsi="黑体" w:cs="Times New Roman" w:hint="eastAsia"/>
        </w:rPr>
        <w:t>环境（背</w:t>
      </w:r>
      <w:r>
        <w:rPr>
          <w:rFonts w:hAnsi="黑体" w:cs="Times New Roman" w:hint="eastAsia"/>
        </w:rPr>
        <w:t>景）亮度的区域划分</w:t>
      </w:r>
    </w:p>
    <w:tbl>
      <w:tblPr>
        <w:tblStyle w:val="afff0"/>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tblPr>
      <w:tblGrid>
        <w:gridCol w:w="1556"/>
        <w:gridCol w:w="1556"/>
        <w:gridCol w:w="1555"/>
        <w:gridCol w:w="1555"/>
        <w:gridCol w:w="1556"/>
        <w:gridCol w:w="1556"/>
      </w:tblGrid>
      <w:tr w:rsidR="00F65813">
        <w:trPr>
          <w:tblHeader/>
          <w:jc w:val="center"/>
        </w:trPr>
        <w:tc>
          <w:tcPr>
            <w:tcW w:w="1556" w:type="dxa"/>
            <w:tcBorders>
              <w:top w:val="single" w:sz="4" w:space="0" w:color="auto"/>
              <w:left w:val="single" w:sz="4" w:space="0" w:color="auto"/>
              <w:bottom w:val="single" w:sz="4"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sz w:val="18"/>
                <w:szCs w:val="18"/>
              </w:rPr>
              <w:t>环境亮度类型</w:t>
            </w:r>
          </w:p>
        </w:tc>
        <w:tc>
          <w:tcPr>
            <w:tcW w:w="1556" w:type="dxa"/>
            <w:tcBorders>
              <w:top w:val="single" w:sz="8" w:space="0" w:color="auto"/>
              <w:bottom w:val="single" w:sz="8" w:space="0" w:color="auto"/>
            </w:tcBorders>
            <w:shd w:val="clear" w:color="auto" w:fill="auto"/>
            <w:vAlign w:val="center"/>
          </w:tcPr>
          <w:p w:rsidR="00F65813" w:rsidRDefault="00EB0B4C">
            <w:pPr>
              <w:pStyle w:val="afffffff5"/>
            </w:pPr>
            <w:r>
              <w:rPr>
                <w:rFonts w:hint="eastAsia"/>
              </w:rPr>
              <w:t>天然暗环境区域</w:t>
            </w:r>
          </w:p>
        </w:tc>
        <w:tc>
          <w:tcPr>
            <w:tcW w:w="1555" w:type="dxa"/>
            <w:tcBorders>
              <w:top w:val="single" w:sz="4" w:space="0" w:color="auto"/>
              <w:left w:val="single" w:sz="4" w:space="0" w:color="auto"/>
              <w:bottom w:val="single" w:sz="4"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hint="eastAsia"/>
                <w:sz w:val="18"/>
                <w:szCs w:val="18"/>
              </w:rPr>
              <w:t>暗环境区</w:t>
            </w:r>
            <w:r>
              <w:rPr>
                <w:rFonts w:ascii="宋体" w:hAnsi="宋体"/>
                <w:sz w:val="18"/>
                <w:szCs w:val="18"/>
              </w:rPr>
              <w:t>域</w:t>
            </w:r>
          </w:p>
        </w:tc>
        <w:tc>
          <w:tcPr>
            <w:tcW w:w="1555" w:type="dxa"/>
            <w:tcBorders>
              <w:top w:val="single" w:sz="4" w:space="0" w:color="auto"/>
              <w:left w:val="single" w:sz="4" w:space="0" w:color="auto"/>
              <w:bottom w:val="single" w:sz="4"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sz w:val="18"/>
                <w:szCs w:val="18"/>
              </w:rPr>
              <w:t>低亮度环境区域</w:t>
            </w:r>
          </w:p>
        </w:tc>
        <w:tc>
          <w:tcPr>
            <w:tcW w:w="1556" w:type="dxa"/>
            <w:tcBorders>
              <w:top w:val="single" w:sz="4" w:space="0" w:color="auto"/>
              <w:left w:val="single" w:sz="4" w:space="0" w:color="auto"/>
              <w:bottom w:val="single" w:sz="4"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sz w:val="18"/>
                <w:szCs w:val="18"/>
              </w:rPr>
              <w:t>中等亮度环境区域</w:t>
            </w:r>
          </w:p>
        </w:tc>
        <w:tc>
          <w:tcPr>
            <w:tcW w:w="1556" w:type="dxa"/>
            <w:tcBorders>
              <w:top w:val="single" w:sz="4" w:space="0" w:color="auto"/>
              <w:left w:val="single" w:sz="4" w:space="0" w:color="auto"/>
              <w:bottom w:val="single" w:sz="4"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sz w:val="18"/>
                <w:szCs w:val="18"/>
              </w:rPr>
              <w:t>高亮度环境区域</w:t>
            </w:r>
          </w:p>
        </w:tc>
      </w:tr>
      <w:tr w:rsidR="00F65813">
        <w:trPr>
          <w:jc w:val="center"/>
        </w:trPr>
        <w:tc>
          <w:tcPr>
            <w:tcW w:w="1556" w:type="dxa"/>
            <w:tcBorders>
              <w:top w:val="single" w:sz="4" w:space="0" w:color="auto"/>
              <w:left w:val="single" w:sz="4" w:space="0" w:color="auto"/>
              <w:bottom w:val="single" w:sz="4"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sz w:val="18"/>
                <w:szCs w:val="18"/>
              </w:rPr>
              <w:t>区域代号</w:t>
            </w:r>
          </w:p>
        </w:tc>
        <w:tc>
          <w:tcPr>
            <w:tcW w:w="1556" w:type="dxa"/>
            <w:tcBorders>
              <w:top w:val="single" w:sz="8" w:space="0" w:color="auto"/>
            </w:tcBorders>
            <w:shd w:val="clear" w:color="auto" w:fill="auto"/>
            <w:vAlign w:val="center"/>
          </w:tcPr>
          <w:p w:rsidR="00F65813" w:rsidRDefault="00EB0B4C">
            <w:pPr>
              <w:pStyle w:val="afffffff5"/>
            </w:pPr>
            <w:r>
              <w:rPr>
                <w:rFonts w:hint="eastAsia"/>
              </w:rPr>
              <w:t>E</w:t>
            </w:r>
            <w:r>
              <w:t>0</w:t>
            </w:r>
          </w:p>
        </w:tc>
        <w:tc>
          <w:tcPr>
            <w:tcW w:w="1555" w:type="dxa"/>
            <w:tcBorders>
              <w:top w:val="single" w:sz="4" w:space="0" w:color="auto"/>
              <w:left w:val="single" w:sz="4" w:space="0" w:color="auto"/>
              <w:bottom w:val="single" w:sz="4"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sz w:val="18"/>
                <w:szCs w:val="18"/>
              </w:rPr>
              <w:t>E1</w:t>
            </w:r>
          </w:p>
        </w:tc>
        <w:tc>
          <w:tcPr>
            <w:tcW w:w="1555" w:type="dxa"/>
            <w:tcBorders>
              <w:top w:val="single" w:sz="4" w:space="0" w:color="auto"/>
              <w:left w:val="single" w:sz="4" w:space="0" w:color="auto"/>
              <w:bottom w:val="single" w:sz="4"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sz w:val="18"/>
                <w:szCs w:val="18"/>
              </w:rPr>
              <w:t>E2</w:t>
            </w:r>
          </w:p>
        </w:tc>
        <w:tc>
          <w:tcPr>
            <w:tcW w:w="1556" w:type="dxa"/>
            <w:tcBorders>
              <w:top w:val="single" w:sz="4" w:space="0" w:color="auto"/>
              <w:left w:val="single" w:sz="4" w:space="0" w:color="auto"/>
              <w:bottom w:val="single" w:sz="4"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sz w:val="18"/>
                <w:szCs w:val="18"/>
              </w:rPr>
              <w:t>E3</w:t>
            </w:r>
          </w:p>
        </w:tc>
        <w:tc>
          <w:tcPr>
            <w:tcW w:w="1556" w:type="dxa"/>
            <w:tcBorders>
              <w:top w:val="single" w:sz="4" w:space="0" w:color="auto"/>
              <w:left w:val="single" w:sz="4" w:space="0" w:color="auto"/>
              <w:bottom w:val="single" w:sz="4"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sz w:val="18"/>
                <w:szCs w:val="18"/>
              </w:rPr>
              <w:t>E4</w:t>
            </w:r>
          </w:p>
        </w:tc>
      </w:tr>
      <w:tr w:rsidR="00F65813">
        <w:trPr>
          <w:jc w:val="center"/>
        </w:trPr>
        <w:tc>
          <w:tcPr>
            <w:tcW w:w="1556" w:type="dxa"/>
            <w:tcBorders>
              <w:top w:val="single" w:sz="4" w:space="0" w:color="auto"/>
              <w:left w:val="single" w:sz="4" w:space="0" w:color="auto"/>
              <w:bottom w:val="single" w:sz="8"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sz w:val="18"/>
                <w:szCs w:val="18"/>
              </w:rPr>
              <w:t>对应的区域</w:t>
            </w:r>
            <w:r>
              <w:rPr>
                <w:rFonts w:ascii="宋体" w:hAnsi="宋体" w:hint="eastAsia"/>
                <w:sz w:val="18"/>
                <w:szCs w:val="18"/>
              </w:rPr>
              <w:t>划分</w:t>
            </w:r>
          </w:p>
        </w:tc>
        <w:tc>
          <w:tcPr>
            <w:tcW w:w="1556" w:type="dxa"/>
            <w:tcBorders>
              <w:bottom w:val="single" w:sz="8" w:space="0" w:color="auto"/>
            </w:tcBorders>
            <w:shd w:val="clear" w:color="auto" w:fill="auto"/>
            <w:vAlign w:val="center"/>
          </w:tcPr>
          <w:p w:rsidR="00F65813" w:rsidRDefault="00EB0B4C">
            <w:pPr>
              <w:pStyle w:val="afffffff5"/>
            </w:pPr>
            <w:r>
              <w:rPr>
                <w:rFonts w:hAnsi="宋体" w:hint="eastAsia"/>
                <w:szCs w:val="18"/>
              </w:rPr>
              <w:t>禁设区域</w:t>
            </w:r>
          </w:p>
        </w:tc>
        <w:tc>
          <w:tcPr>
            <w:tcW w:w="1555" w:type="dxa"/>
            <w:tcBorders>
              <w:top w:val="single" w:sz="4" w:space="0" w:color="auto"/>
              <w:left w:val="single" w:sz="4" w:space="0" w:color="auto"/>
              <w:bottom w:val="single" w:sz="8"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hint="eastAsia"/>
                <w:sz w:val="18"/>
                <w:szCs w:val="18"/>
              </w:rPr>
              <w:t>禁设区域</w:t>
            </w:r>
          </w:p>
        </w:tc>
        <w:tc>
          <w:tcPr>
            <w:tcW w:w="1555" w:type="dxa"/>
            <w:tcBorders>
              <w:top w:val="single" w:sz="4" w:space="0" w:color="auto"/>
              <w:left w:val="single" w:sz="4" w:space="0" w:color="auto"/>
              <w:bottom w:val="single" w:sz="8"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hint="eastAsia"/>
                <w:sz w:val="18"/>
                <w:szCs w:val="18"/>
              </w:rPr>
              <w:t>一般区域</w:t>
            </w:r>
          </w:p>
        </w:tc>
        <w:tc>
          <w:tcPr>
            <w:tcW w:w="1556" w:type="dxa"/>
            <w:tcBorders>
              <w:top w:val="single" w:sz="4" w:space="0" w:color="auto"/>
              <w:left w:val="single" w:sz="4" w:space="0" w:color="auto"/>
              <w:bottom w:val="single" w:sz="8"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hint="eastAsia"/>
                <w:sz w:val="18"/>
                <w:szCs w:val="18"/>
              </w:rPr>
              <w:t>发展</w:t>
            </w:r>
            <w:r>
              <w:rPr>
                <w:rFonts w:ascii="宋体" w:hAnsi="宋体"/>
                <w:sz w:val="18"/>
                <w:szCs w:val="18"/>
              </w:rPr>
              <w:t>区</w:t>
            </w:r>
            <w:r>
              <w:rPr>
                <w:rFonts w:ascii="宋体" w:hAnsi="宋体" w:hint="eastAsia"/>
                <w:sz w:val="18"/>
                <w:szCs w:val="18"/>
              </w:rPr>
              <w:t>域</w:t>
            </w:r>
          </w:p>
        </w:tc>
        <w:tc>
          <w:tcPr>
            <w:tcW w:w="1556" w:type="dxa"/>
            <w:tcBorders>
              <w:top w:val="single" w:sz="4" w:space="0" w:color="auto"/>
              <w:left w:val="single" w:sz="4" w:space="0" w:color="auto"/>
              <w:bottom w:val="single" w:sz="8" w:space="0" w:color="auto"/>
              <w:right w:val="single" w:sz="4" w:space="0" w:color="auto"/>
            </w:tcBorders>
            <w:vAlign w:val="center"/>
          </w:tcPr>
          <w:p w:rsidR="00F65813" w:rsidRDefault="00EB0B4C">
            <w:pPr>
              <w:spacing w:after="0"/>
              <w:jc w:val="center"/>
              <w:rPr>
                <w:rFonts w:ascii="宋体" w:hAnsi="宋体"/>
                <w:sz w:val="18"/>
                <w:szCs w:val="18"/>
              </w:rPr>
            </w:pPr>
            <w:r>
              <w:rPr>
                <w:rFonts w:ascii="宋体" w:hAnsi="宋体" w:hint="eastAsia"/>
                <w:sz w:val="18"/>
                <w:szCs w:val="18"/>
              </w:rPr>
              <w:t>核心区域、</w:t>
            </w:r>
            <w:r>
              <w:rPr>
                <w:rFonts w:ascii="宋体" w:hAnsi="宋体"/>
                <w:sz w:val="18"/>
                <w:szCs w:val="18"/>
              </w:rPr>
              <w:t>重点区</w:t>
            </w:r>
            <w:r>
              <w:rPr>
                <w:rFonts w:ascii="宋体" w:hAnsi="宋体" w:hint="eastAsia"/>
                <w:sz w:val="18"/>
                <w:szCs w:val="18"/>
              </w:rPr>
              <w:t>域</w:t>
            </w:r>
          </w:p>
        </w:tc>
      </w:tr>
      <w:tr w:rsidR="00F65813">
        <w:trPr>
          <w:jc w:val="center"/>
        </w:trPr>
        <w:tc>
          <w:tcPr>
            <w:tcW w:w="9334" w:type="dxa"/>
            <w:gridSpan w:val="6"/>
            <w:tcBorders>
              <w:top w:val="single" w:sz="8" w:space="0" w:color="auto"/>
              <w:left w:val="single" w:sz="4" w:space="0" w:color="auto"/>
              <w:bottom w:val="single" w:sz="8" w:space="0" w:color="auto"/>
              <w:right w:val="single" w:sz="4" w:space="0" w:color="auto"/>
            </w:tcBorders>
            <w:shd w:val="clear" w:color="auto" w:fill="auto"/>
            <w:vAlign w:val="center"/>
          </w:tcPr>
          <w:p w:rsidR="00F65813" w:rsidRDefault="00EB0B4C">
            <w:pPr>
              <w:pStyle w:val="afffffff4"/>
              <w:ind w:firstLine="360"/>
            </w:pPr>
            <w:r>
              <w:rPr>
                <w:rFonts w:ascii="黑体" w:eastAsia="黑体" w:hAnsi="黑体" w:hint="eastAsia"/>
                <w:kern w:val="2"/>
                <w:sz w:val="18"/>
                <w:szCs w:val="18"/>
              </w:rPr>
              <w:t>注</w:t>
            </w:r>
            <w:r>
              <w:rPr>
                <w:rFonts w:ascii="黑体" w:eastAsia="黑体" w:hAnsi="黑体"/>
                <w:kern w:val="2"/>
                <w:sz w:val="18"/>
                <w:szCs w:val="18"/>
              </w:rPr>
              <w:t>：</w:t>
            </w:r>
            <w:r>
              <w:rPr>
                <w:rFonts w:hAnsi="宋体" w:hint="eastAsia"/>
                <w:kern w:val="2"/>
                <w:sz w:val="18"/>
                <w:szCs w:val="18"/>
              </w:rPr>
              <w:t>环境亮度类型区域划分参见附录</w:t>
            </w:r>
            <w:r>
              <w:rPr>
                <w:rFonts w:hAnsi="宋体"/>
                <w:kern w:val="2"/>
                <w:sz w:val="18"/>
                <w:szCs w:val="18"/>
              </w:rPr>
              <w:t>A</w:t>
            </w:r>
          </w:p>
        </w:tc>
      </w:tr>
    </w:tbl>
    <w:p w:rsidR="00F65813" w:rsidRDefault="00F65813"/>
    <w:p w:rsidR="00F65813" w:rsidRDefault="00EB0B4C">
      <w:pPr>
        <w:pStyle w:val="a5"/>
        <w:numPr>
          <w:ilvl w:val="0"/>
          <w:numId w:val="0"/>
        </w:numPr>
        <w:spacing w:before="156" w:after="156"/>
        <w:jc w:val="both"/>
        <w:rPr>
          <w:rFonts w:ascii="宋体" w:eastAsia="宋体" w:hAnsi="宋体"/>
        </w:rPr>
      </w:pPr>
      <w:r>
        <w:rPr>
          <w:rFonts w:hAnsi="黑体" w:hint="eastAsia"/>
        </w:rPr>
        <w:t>4</w:t>
      </w:r>
      <w:r>
        <w:rPr>
          <w:rFonts w:hAnsi="黑体"/>
        </w:rPr>
        <w:t xml:space="preserve">.2.2 </w:t>
      </w:r>
      <w:r>
        <w:rPr>
          <w:rFonts w:ascii="宋体" w:eastAsia="宋体" w:hAnsi="宋体" w:hint="eastAsia"/>
        </w:rPr>
        <w:t>景观照明被照对象的亮度与环境背景亮度的对比度宜控制在</w:t>
      </w:r>
      <w:r>
        <w:rPr>
          <w:rFonts w:ascii="宋体" w:eastAsia="宋体" w:hAnsi="宋体"/>
        </w:rPr>
        <w:t>3:1</w:t>
      </w:r>
      <w:r>
        <w:rPr>
          <w:rFonts w:ascii="宋体" w:eastAsia="宋体" w:hAnsi="宋体" w:hint="eastAsia"/>
        </w:rPr>
        <w:t>～</w:t>
      </w:r>
      <w:r>
        <w:rPr>
          <w:rFonts w:ascii="宋体" w:eastAsia="宋体" w:hAnsi="宋体"/>
        </w:rPr>
        <w:t>5:1</w:t>
      </w:r>
      <w:r>
        <w:rPr>
          <w:rFonts w:ascii="宋体" w:eastAsia="宋体" w:hAnsi="宋体" w:hint="eastAsia"/>
        </w:rPr>
        <w:t>为宜，需特别强调时对比度不宜超过</w:t>
      </w:r>
      <w:r>
        <w:rPr>
          <w:rFonts w:ascii="宋体" w:eastAsia="宋体" w:hAnsi="宋体"/>
        </w:rPr>
        <w:t>10:1</w:t>
      </w:r>
      <w:r>
        <w:rPr>
          <w:rFonts w:ascii="宋体" w:eastAsia="宋体" w:hAnsi="宋体" w:hint="eastAsia"/>
        </w:rPr>
        <w:t>。</w:t>
      </w:r>
    </w:p>
    <w:p w:rsidR="00F65813" w:rsidRDefault="00EB0B4C">
      <w:pPr>
        <w:pStyle w:val="a5"/>
        <w:numPr>
          <w:ilvl w:val="0"/>
          <w:numId w:val="0"/>
        </w:numPr>
        <w:spacing w:before="156" w:after="156"/>
        <w:jc w:val="both"/>
        <w:rPr>
          <w:rFonts w:ascii="Times New Roman" w:eastAsia="宋体"/>
        </w:rPr>
      </w:pPr>
      <w:r>
        <w:rPr>
          <w:rFonts w:hAnsi="黑体" w:hint="eastAsia"/>
        </w:rPr>
        <w:t>4</w:t>
      </w:r>
      <w:r>
        <w:rPr>
          <w:rFonts w:hAnsi="黑体"/>
        </w:rPr>
        <w:t xml:space="preserve">.2.3 </w:t>
      </w:r>
      <w:r>
        <w:rPr>
          <w:rFonts w:ascii="Times New Roman" w:eastAsia="宋体" w:hint="eastAsia"/>
        </w:rPr>
        <w:t>采用泛光照明、轮廓照明等方式的，其亮度应控制在合理水平。根据环境亮度分区不同，被照物表面平均亮度和最大亮度宜控制在</w:t>
      </w:r>
      <w:r>
        <w:rPr>
          <w:rFonts w:asciiTheme="minorEastAsia" w:eastAsiaTheme="minorEastAsia" w:hAnsiTheme="minorEastAsia" w:hint="eastAsia"/>
        </w:rPr>
        <w:t>表</w:t>
      </w:r>
      <w:r>
        <w:rPr>
          <w:rFonts w:asciiTheme="minorEastAsia" w:eastAsiaTheme="minorEastAsia" w:hAnsiTheme="minorEastAsia"/>
        </w:rPr>
        <w:t>2</w:t>
      </w:r>
      <w:r>
        <w:rPr>
          <w:rFonts w:ascii="Times New Roman" w:eastAsia="宋体" w:hint="eastAsia"/>
        </w:rPr>
        <w:t>规定水平。</w:t>
      </w:r>
    </w:p>
    <w:p w:rsidR="00F65813" w:rsidRDefault="00EB0B4C">
      <w:pPr>
        <w:pStyle w:val="af4"/>
        <w:keepNext/>
        <w:widowControl w:val="0"/>
        <w:numPr>
          <w:ilvl w:val="0"/>
          <w:numId w:val="0"/>
        </w:numPr>
        <w:tabs>
          <w:tab w:val="left" w:pos="360"/>
        </w:tabs>
        <w:spacing w:before="156" w:after="156"/>
        <w:rPr>
          <w:rFonts w:hAnsi="黑体" w:cs="Times New Roman"/>
        </w:rPr>
      </w:pPr>
      <w:r>
        <w:rPr>
          <w:rFonts w:hAnsi="黑体" w:cs="Times New Roman"/>
        </w:rPr>
        <w:t>表</w:t>
      </w:r>
      <w:r>
        <w:rPr>
          <w:rFonts w:hAnsi="黑体" w:cs="Times New Roman"/>
        </w:rPr>
        <w:t xml:space="preserve">2  </w:t>
      </w:r>
      <w:r>
        <w:rPr>
          <w:rFonts w:hAnsi="黑体" w:cs="Times New Roman" w:hint="eastAsia"/>
        </w:rPr>
        <w:t>被照物表面平均</w:t>
      </w:r>
      <w:r>
        <w:rPr>
          <w:rFonts w:hAnsi="黑体" w:cs="Times New Roman"/>
        </w:rPr>
        <w:t>亮度</w:t>
      </w:r>
      <w:r>
        <w:rPr>
          <w:rFonts w:hAnsi="黑体" w:cs="Times New Roman" w:hint="eastAsia"/>
        </w:rPr>
        <w:t>标准值与最大亮度限值</w:t>
      </w:r>
    </w:p>
    <w:p w:rsidR="00F65813" w:rsidRDefault="00EB0B4C">
      <w:pPr>
        <w:pStyle w:val="af4"/>
        <w:keepNext/>
        <w:widowControl w:val="0"/>
        <w:numPr>
          <w:ilvl w:val="0"/>
          <w:numId w:val="0"/>
        </w:numPr>
        <w:tabs>
          <w:tab w:val="left" w:pos="360"/>
        </w:tabs>
        <w:spacing w:beforeLines="0" w:afterLines="0"/>
        <w:jc w:val="right"/>
        <w:rPr>
          <w:rFonts w:ascii="Times New Roman" w:eastAsia="宋体" w:cs="Times New Roman"/>
          <w:sz w:val="18"/>
        </w:rPr>
      </w:pPr>
      <w:r>
        <w:rPr>
          <w:rFonts w:ascii="Times New Roman" w:eastAsia="宋体" w:cs="Times New Roman" w:hint="eastAsia"/>
          <w:sz w:val="18"/>
        </w:rPr>
        <w:t>单位为坎德拉每平方米</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19"/>
        <w:gridCol w:w="1591"/>
        <w:gridCol w:w="1591"/>
        <w:gridCol w:w="1623"/>
        <w:gridCol w:w="1623"/>
        <w:gridCol w:w="1623"/>
      </w:tblGrid>
      <w:tr w:rsidR="00F65813">
        <w:trPr>
          <w:trHeight w:val="605"/>
          <w:jc w:val="center"/>
        </w:trPr>
        <w:tc>
          <w:tcPr>
            <w:tcW w:w="794"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环境</w:t>
            </w:r>
            <w:r>
              <w:rPr>
                <w:rFonts w:asciiTheme="minorEastAsia" w:eastAsiaTheme="minorEastAsia" w:hAnsiTheme="minorEastAsia"/>
                <w:sz w:val="18"/>
                <w:szCs w:val="18"/>
              </w:rPr>
              <w:t>区域</w:t>
            </w:r>
          </w:p>
        </w:tc>
        <w:tc>
          <w:tcPr>
            <w:tcW w:w="831" w:type="pct"/>
            <w:tcBorders>
              <w:top w:val="single" w:sz="4" w:space="0" w:color="auto"/>
              <w:left w:val="single" w:sz="4" w:space="0" w:color="auto"/>
              <w:bottom w:val="single" w:sz="4" w:space="0" w:color="auto"/>
              <w:right w:val="single" w:sz="4" w:space="0" w:color="auto"/>
            </w:tcBorders>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E</w:t>
            </w:r>
            <w:r>
              <w:rPr>
                <w:rFonts w:asciiTheme="minorEastAsia" w:eastAsiaTheme="minorEastAsia" w:hAnsiTheme="minorEastAsia"/>
                <w:sz w:val="18"/>
                <w:szCs w:val="18"/>
              </w:rPr>
              <w:t>0</w:t>
            </w:r>
          </w:p>
        </w:tc>
        <w:tc>
          <w:tcPr>
            <w:tcW w:w="831"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E1</w:t>
            </w:r>
          </w:p>
        </w:tc>
        <w:tc>
          <w:tcPr>
            <w:tcW w:w="848"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E2</w:t>
            </w:r>
          </w:p>
        </w:tc>
        <w:tc>
          <w:tcPr>
            <w:tcW w:w="848"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E3</w:t>
            </w:r>
          </w:p>
        </w:tc>
        <w:tc>
          <w:tcPr>
            <w:tcW w:w="848"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E4</w:t>
            </w:r>
          </w:p>
        </w:tc>
      </w:tr>
      <w:tr w:rsidR="00F65813">
        <w:trPr>
          <w:trHeight w:val="828"/>
          <w:jc w:val="center"/>
        </w:trPr>
        <w:tc>
          <w:tcPr>
            <w:tcW w:w="794"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表面</w:t>
            </w:r>
            <w:r>
              <w:rPr>
                <w:rFonts w:asciiTheme="minorEastAsia" w:eastAsiaTheme="minorEastAsia" w:hAnsiTheme="minorEastAsia"/>
                <w:sz w:val="18"/>
                <w:szCs w:val="18"/>
              </w:rPr>
              <w:t>平均</w:t>
            </w:r>
            <w:r>
              <w:rPr>
                <w:rFonts w:asciiTheme="minorEastAsia" w:eastAsiaTheme="minorEastAsia" w:hAnsiTheme="minorEastAsia" w:hint="eastAsia"/>
                <w:sz w:val="18"/>
                <w:szCs w:val="18"/>
              </w:rPr>
              <w:t>亮度标准值</w:t>
            </w:r>
          </w:p>
        </w:tc>
        <w:tc>
          <w:tcPr>
            <w:tcW w:w="831"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w:t>
            </w:r>
          </w:p>
        </w:tc>
        <w:tc>
          <w:tcPr>
            <w:tcW w:w="831"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w:t>
            </w:r>
          </w:p>
        </w:tc>
        <w:tc>
          <w:tcPr>
            <w:tcW w:w="848"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5</w:t>
            </w:r>
          </w:p>
        </w:tc>
        <w:tc>
          <w:tcPr>
            <w:tcW w:w="848"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10</w:t>
            </w:r>
          </w:p>
        </w:tc>
        <w:tc>
          <w:tcPr>
            <w:tcW w:w="848"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25</w:t>
            </w:r>
          </w:p>
        </w:tc>
      </w:tr>
      <w:tr w:rsidR="00F65813">
        <w:trPr>
          <w:trHeight w:val="590"/>
          <w:jc w:val="center"/>
        </w:trPr>
        <w:tc>
          <w:tcPr>
            <w:tcW w:w="794"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表面</w:t>
            </w:r>
            <w:r>
              <w:rPr>
                <w:rFonts w:asciiTheme="minorEastAsia" w:eastAsiaTheme="minorEastAsia" w:hAnsiTheme="minorEastAsia"/>
                <w:sz w:val="18"/>
                <w:szCs w:val="18"/>
              </w:rPr>
              <w:t>最大</w:t>
            </w:r>
            <w:r>
              <w:rPr>
                <w:rFonts w:asciiTheme="minorEastAsia" w:eastAsiaTheme="minorEastAsia" w:hAnsiTheme="minorEastAsia" w:hint="eastAsia"/>
                <w:sz w:val="18"/>
                <w:szCs w:val="18"/>
              </w:rPr>
              <w:t>亮度</w:t>
            </w:r>
          </w:p>
        </w:tc>
        <w:tc>
          <w:tcPr>
            <w:tcW w:w="831"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w:t>
            </w:r>
          </w:p>
        </w:tc>
        <w:tc>
          <w:tcPr>
            <w:tcW w:w="831"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w:t>
            </w:r>
          </w:p>
        </w:tc>
        <w:tc>
          <w:tcPr>
            <w:tcW w:w="848"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10</w:t>
            </w:r>
          </w:p>
        </w:tc>
        <w:tc>
          <w:tcPr>
            <w:tcW w:w="848"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60</w:t>
            </w:r>
          </w:p>
        </w:tc>
        <w:tc>
          <w:tcPr>
            <w:tcW w:w="848"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150</w:t>
            </w:r>
          </w:p>
        </w:tc>
      </w:tr>
      <w:tr w:rsidR="00F65813">
        <w:trPr>
          <w:trHeight w:val="576"/>
          <w:jc w:val="center"/>
        </w:trPr>
        <w:tc>
          <w:tcPr>
            <w:tcW w:w="5000" w:type="pct"/>
            <w:gridSpan w:val="6"/>
            <w:tcBorders>
              <w:top w:val="single" w:sz="4" w:space="0" w:color="auto"/>
              <w:left w:val="single" w:sz="4" w:space="0" w:color="auto"/>
              <w:bottom w:val="single" w:sz="4" w:space="0" w:color="auto"/>
              <w:right w:val="single" w:sz="4" w:space="0" w:color="auto"/>
            </w:tcBorders>
          </w:tcPr>
          <w:p w:rsidR="00F65813" w:rsidRPr="00F65813" w:rsidRDefault="00F65813">
            <w:pPr>
              <w:keepNext/>
              <w:spacing w:after="0"/>
              <w:ind w:firstLine="360"/>
              <w:jc w:val="left"/>
              <w:rPr>
                <w:rFonts w:asciiTheme="minorEastAsia" w:eastAsiaTheme="minorEastAsia" w:hAnsiTheme="minorEastAsia"/>
                <w:sz w:val="18"/>
                <w:szCs w:val="18"/>
              </w:rPr>
            </w:pPr>
            <w:r w:rsidRPr="00F65813">
              <w:rPr>
                <w:rFonts w:ascii="黑体" w:eastAsia="黑体" w:hAnsi="黑体" w:hint="eastAsia"/>
                <w:sz w:val="18"/>
                <w:szCs w:val="18"/>
              </w:rPr>
              <w:t>注</w:t>
            </w:r>
            <w:r w:rsidRPr="00F65813">
              <w:rPr>
                <w:rFonts w:ascii="黑体" w:eastAsia="黑体" w:hAnsi="黑体"/>
                <w:sz w:val="18"/>
                <w:szCs w:val="18"/>
              </w:rPr>
              <w:t>1：</w:t>
            </w:r>
            <w:r w:rsidRPr="00F65813">
              <w:rPr>
                <w:rFonts w:asciiTheme="minorEastAsia" w:eastAsiaTheme="minorEastAsia" w:hAnsiTheme="minorEastAsia"/>
                <w:sz w:val="18"/>
                <w:szCs w:val="18"/>
              </w:rPr>
              <w:t>表中“－”表示</w:t>
            </w:r>
            <w:r w:rsidRPr="00F65813">
              <w:rPr>
                <w:rFonts w:asciiTheme="minorEastAsia" w:eastAsiaTheme="minorEastAsia" w:hAnsiTheme="minorEastAsia" w:hint="eastAsia"/>
                <w:sz w:val="18"/>
                <w:szCs w:val="18"/>
              </w:rPr>
              <w:t>此</w:t>
            </w:r>
            <w:r w:rsidRPr="00F65813">
              <w:rPr>
                <w:rFonts w:asciiTheme="minorEastAsia" w:eastAsiaTheme="minorEastAsia" w:hAnsiTheme="minorEastAsia"/>
                <w:sz w:val="18"/>
                <w:szCs w:val="18"/>
              </w:rPr>
              <w:t>区域不应</w:t>
            </w:r>
            <w:r w:rsidRPr="00F65813">
              <w:rPr>
                <w:rFonts w:asciiTheme="minorEastAsia" w:eastAsiaTheme="minorEastAsia" w:hAnsiTheme="minorEastAsia" w:hint="eastAsia"/>
                <w:sz w:val="18"/>
                <w:szCs w:val="18"/>
              </w:rPr>
              <w:t>设置</w:t>
            </w:r>
            <w:r w:rsidRPr="00F65813">
              <w:rPr>
                <w:rFonts w:asciiTheme="minorEastAsia" w:eastAsiaTheme="minorEastAsia" w:hAnsiTheme="minorEastAsia"/>
                <w:sz w:val="18"/>
                <w:szCs w:val="18"/>
              </w:rPr>
              <w:t>景观照明，故不作要求</w:t>
            </w:r>
          </w:p>
          <w:p w:rsidR="00F65813" w:rsidRDefault="00F65813">
            <w:pPr>
              <w:keepNext/>
              <w:spacing w:after="0"/>
              <w:ind w:firstLine="360"/>
              <w:jc w:val="left"/>
              <w:rPr>
                <w:rFonts w:asciiTheme="minorEastAsia" w:eastAsiaTheme="minorEastAsia" w:hAnsiTheme="minorEastAsia"/>
                <w:sz w:val="18"/>
                <w:szCs w:val="18"/>
              </w:rPr>
            </w:pPr>
            <w:r w:rsidRPr="00F65813">
              <w:rPr>
                <w:rFonts w:ascii="黑体" w:eastAsia="黑体" w:hAnsi="黑体" w:hint="eastAsia"/>
                <w:sz w:val="18"/>
                <w:szCs w:val="18"/>
              </w:rPr>
              <w:t>注</w:t>
            </w:r>
            <w:r w:rsidRPr="00F65813">
              <w:rPr>
                <w:rFonts w:ascii="黑体" w:eastAsia="黑体" w:hAnsi="黑体"/>
                <w:sz w:val="18"/>
                <w:szCs w:val="18"/>
              </w:rPr>
              <w:t>2：</w:t>
            </w:r>
            <w:r w:rsidRPr="00F65813">
              <w:rPr>
                <w:rFonts w:asciiTheme="minorEastAsia" w:eastAsiaTheme="minorEastAsia" w:hAnsiTheme="minorEastAsia"/>
                <w:sz w:val="18"/>
                <w:szCs w:val="18"/>
              </w:rPr>
              <w:t>表中表面最大亮度限值是在晴天夜晚环境下测取的，测量角度为被照物正前方，测量距离以成像亮度测试设备拍摄画面能够完整包含被测建筑为准，其中多层建筑的测量距离为50-100米，高层、超高层建筑为200-300米</w:t>
            </w:r>
          </w:p>
        </w:tc>
      </w:tr>
    </w:tbl>
    <w:p w:rsidR="00F65813" w:rsidRDefault="00F65813">
      <w:pPr>
        <w:keepNext/>
        <w:spacing w:after="0"/>
        <w:ind w:firstLine="360"/>
        <w:jc w:val="left"/>
        <w:rPr>
          <w:rFonts w:eastAsia="黑体"/>
          <w:sz w:val="18"/>
          <w:szCs w:val="18"/>
        </w:rPr>
      </w:pPr>
    </w:p>
    <w:p w:rsidR="00F65813" w:rsidRDefault="00F65813">
      <w:pPr>
        <w:keepNext/>
        <w:spacing w:after="0"/>
        <w:ind w:firstLine="360"/>
        <w:jc w:val="left"/>
        <w:rPr>
          <w:rFonts w:eastAsia="黑体"/>
          <w:sz w:val="18"/>
          <w:szCs w:val="18"/>
        </w:rPr>
      </w:pPr>
    </w:p>
    <w:p w:rsidR="00F65813" w:rsidRDefault="00EB0B4C">
      <w:pPr>
        <w:pStyle w:val="a5"/>
        <w:numPr>
          <w:ilvl w:val="0"/>
          <w:numId w:val="0"/>
        </w:numPr>
        <w:spacing w:before="156" w:after="156"/>
        <w:jc w:val="both"/>
        <w:rPr>
          <w:rFonts w:ascii="Times New Roman" w:eastAsia="宋体"/>
        </w:rPr>
      </w:pPr>
      <w:r>
        <w:rPr>
          <w:rFonts w:hAnsi="黑体" w:hint="eastAsia"/>
        </w:rPr>
        <w:t>4</w:t>
      </w:r>
      <w:r>
        <w:rPr>
          <w:rFonts w:hAnsi="黑体"/>
        </w:rPr>
        <w:t xml:space="preserve">.2.4 </w:t>
      </w:r>
      <w:r>
        <w:rPr>
          <w:rFonts w:ascii="Times New Roman" w:eastAsia="宋体" w:hint="eastAsia"/>
        </w:rPr>
        <w:t>采用媒体立面照明方式的，其亮度应控制在合理水平。根据环境亮度分区不同，其表面平均亮度和最大亮度宜控制在表</w:t>
      </w:r>
      <w:r>
        <w:rPr>
          <w:rFonts w:ascii="Times New Roman" w:eastAsia="宋体"/>
        </w:rPr>
        <w:t>3</w:t>
      </w:r>
      <w:r>
        <w:rPr>
          <w:rFonts w:ascii="Times New Roman" w:eastAsia="宋体" w:hint="eastAsia"/>
        </w:rPr>
        <w:t>规定水平。</w:t>
      </w:r>
    </w:p>
    <w:p w:rsidR="00F65813" w:rsidRDefault="00EB0B4C">
      <w:pPr>
        <w:pStyle w:val="af4"/>
        <w:keepNext/>
        <w:widowControl w:val="0"/>
        <w:numPr>
          <w:ilvl w:val="0"/>
          <w:numId w:val="0"/>
        </w:numPr>
        <w:tabs>
          <w:tab w:val="left" w:pos="360"/>
        </w:tabs>
        <w:spacing w:before="156" w:after="156"/>
        <w:rPr>
          <w:rFonts w:hAnsi="黑体" w:cs="Times New Roman"/>
        </w:rPr>
      </w:pPr>
      <w:r>
        <w:rPr>
          <w:rFonts w:hAnsi="黑体" w:cs="Times New Roman"/>
        </w:rPr>
        <w:lastRenderedPageBreak/>
        <w:t>表</w:t>
      </w:r>
      <w:r>
        <w:rPr>
          <w:rFonts w:hAnsi="黑体" w:cs="Times New Roman" w:hint="eastAsia"/>
        </w:rPr>
        <w:t>3</w:t>
      </w:r>
      <w:r>
        <w:rPr>
          <w:rFonts w:hAnsi="黑体" w:cs="Times New Roman" w:hint="eastAsia"/>
        </w:rPr>
        <w:t>媒体立面表面平均亮度标准值与最大亮度限值</w:t>
      </w:r>
    </w:p>
    <w:p w:rsidR="00F65813" w:rsidRDefault="00EB0B4C">
      <w:pPr>
        <w:pStyle w:val="af4"/>
        <w:keepNext/>
        <w:widowControl w:val="0"/>
        <w:numPr>
          <w:ilvl w:val="0"/>
          <w:numId w:val="0"/>
        </w:numPr>
        <w:tabs>
          <w:tab w:val="left" w:pos="360"/>
        </w:tabs>
        <w:spacing w:beforeLines="0" w:afterLines="0"/>
        <w:jc w:val="right"/>
        <w:rPr>
          <w:rFonts w:ascii="Times New Roman" w:eastAsia="宋体" w:cs="Times New Roman"/>
          <w:sz w:val="18"/>
        </w:rPr>
      </w:pPr>
      <w:r>
        <w:rPr>
          <w:rFonts w:ascii="Times New Roman" w:eastAsia="宋体" w:cs="Times New Roman" w:hint="eastAsia"/>
          <w:sz w:val="18"/>
        </w:rPr>
        <w:t>单位为坎德拉每平方米</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49"/>
        <w:gridCol w:w="1462"/>
        <w:gridCol w:w="1462"/>
        <w:gridCol w:w="1462"/>
        <w:gridCol w:w="1367"/>
        <w:gridCol w:w="1568"/>
      </w:tblGrid>
      <w:tr w:rsidR="00F65813">
        <w:trPr>
          <w:trHeight w:val="510"/>
          <w:jc w:val="center"/>
        </w:trPr>
        <w:tc>
          <w:tcPr>
            <w:tcW w:w="1175"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hint="eastAsia"/>
                <w:sz w:val="18"/>
                <w:szCs w:val="18"/>
              </w:rPr>
              <w:t>表面亮度（白光）</w:t>
            </w:r>
          </w:p>
        </w:tc>
        <w:tc>
          <w:tcPr>
            <w:tcW w:w="764" w:type="pct"/>
            <w:tcBorders>
              <w:top w:val="single" w:sz="4" w:space="0" w:color="auto"/>
              <w:left w:val="single" w:sz="4" w:space="0" w:color="auto"/>
              <w:bottom w:val="single" w:sz="4" w:space="0" w:color="auto"/>
              <w:right w:val="single" w:sz="4" w:space="0" w:color="auto"/>
            </w:tcBorders>
          </w:tcPr>
          <w:p w:rsidR="00F65813" w:rsidRDefault="00EB0B4C">
            <w:pPr>
              <w:keepNext/>
              <w:spacing w:after="0"/>
              <w:jc w:val="center"/>
              <w:rPr>
                <w:rFonts w:ascii="宋体" w:hAnsi="宋体"/>
                <w:sz w:val="18"/>
                <w:szCs w:val="18"/>
              </w:rPr>
            </w:pPr>
            <w:r>
              <w:rPr>
                <w:rFonts w:ascii="宋体" w:hAnsi="宋体" w:hint="eastAsia"/>
                <w:sz w:val="18"/>
                <w:szCs w:val="18"/>
              </w:rPr>
              <w:t>E0</w:t>
            </w:r>
          </w:p>
        </w:tc>
        <w:tc>
          <w:tcPr>
            <w:tcW w:w="764"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E1</w:t>
            </w:r>
          </w:p>
        </w:tc>
        <w:tc>
          <w:tcPr>
            <w:tcW w:w="764"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E2</w:t>
            </w:r>
          </w:p>
        </w:tc>
        <w:tc>
          <w:tcPr>
            <w:tcW w:w="714"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E3</w:t>
            </w:r>
          </w:p>
        </w:tc>
        <w:tc>
          <w:tcPr>
            <w:tcW w:w="819"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E4</w:t>
            </w:r>
          </w:p>
        </w:tc>
      </w:tr>
      <w:tr w:rsidR="00F65813">
        <w:trPr>
          <w:trHeight w:val="510"/>
          <w:jc w:val="center"/>
        </w:trPr>
        <w:tc>
          <w:tcPr>
            <w:tcW w:w="1175"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hint="eastAsia"/>
                <w:sz w:val="18"/>
                <w:szCs w:val="18"/>
              </w:rPr>
              <w:t>表面平均亮度</w:t>
            </w:r>
          </w:p>
        </w:tc>
        <w:tc>
          <w:tcPr>
            <w:tcW w:w="764"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w:t>
            </w:r>
          </w:p>
        </w:tc>
        <w:tc>
          <w:tcPr>
            <w:tcW w:w="764"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w:t>
            </w:r>
          </w:p>
        </w:tc>
        <w:tc>
          <w:tcPr>
            <w:tcW w:w="764"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5</w:t>
            </w:r>
          </w:p>
        </w:tc>
        <w:tc>
          <w:tcPr>
            <w:tcW w:w="714"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10</w:t>
            </w:r>
          </w:p>
        </w:tc>
        <w:tc>
          <w:tcPr>
            <w:tcW w:w="819"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25</w:t>
            </w:r>
          </w:p>
        </w:tc>
      </w:tr>
      <w:tr w:rsidR="00F65813">
        <w:trPr>
          <w:trHeight w:val="510"/>
          <w:jc w:val="center"/>
        </w:trPr>
        <w:tc>
          <w:tcPr>
            <w:tcW w:w="1175"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hint="eastAsia"/>
                <w:sz w:val="18"/>
                <w:szCs w:val="18"/>
              </w:rPr>
              <w:t>表面最大亮度</w:t>
            </w:r>
          </w:p>
        </w:tc>
        <w:tc>
          <w:tcPr>
            <w:tcW w:w="764"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w:t>
            </w:r>
          </w:p>
        </w:tc>
        <w:tc>
          <w:tcPr>
            <w:tcW w:w="764"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w:t>
            </w:r>
          </w:p>
        </w:tc>
        <w:tc>
          <w:tcPr>
            <w:tcW w:w="764"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100</w:t>
            </w:r>
          </w:p>
        </w:tc>
        <w:tc>
          <w:tcPr>
            <w:tcW w:w="714"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200</w:t>
            </w:r>
          </w:p>
        </w:tc>
        <w:tc>
          <w:tcPr>
            <w:tcW w:w="819" w:type="pct"/>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500</w:t>
            </w:r>
          </w:p>
        </w:tc>
      </w:tr>
      <w:tr w:rsidR="00F65813" w:rsidTr="00F65813">
        <w:trPr>
          <w:trHeight w:val="1452"/>
          <w:jc w:val="center"/>
        </w:trPr>
        <w:tc>
          <w:tcPr>
            <w:tcW w:w="5000" w:type="pct"/>
            <w:gridSpan w:val="6"/>
            <w:tcBorders>
              <w:top w:val="single" w:sz="4" w:space="0" w:color="auto"/>
              <w:left w:val="single" w:sz="4" w:space="0" w:color="auto"/>
              <w:bottom w:val="single" w:sz="4" w:space="0" w:color="auto"/>
              <w:right w:val="single" w:sz="4" w:space="0" w:color="auto"/>
            </w:tcBorders>
          </w:tcPr>
          <w:p w:rsidR="00F65813" w:rsidRPr="00F65813" w:rsidRDefault="00F65813">
            <w:pPr>
              <w:keepNext/>
              <w:spacing w:after="0"/>
              <w:ind w:left="1050" w:firstLine="360"/>
              <w:jc w:val="left"/>
              <w:rPr>
                <w:rFonts w:ascii="宋体" w:hAnsi="宋体"/>
                <w:sz w:val="18"/>
                <w:szCs w:val="18"/>
              </w:rPr>
            </w:pPr>
            <w:r w:rsidRPr="00F65813">
              <w:rPr>
                <w:rFonts w:ascii="黑体" w:eastAsia="黑体" w:hAnsi="黑体" w:hint="eastAsia"/>
                <w:sz w:val="18"/>
                <w:szCs w:val="18"/>
              </w:rPr>
              <w:t>注</w:t>
            </w:r>
            <w:r w:rsidRPr="00F65813">
              <w:rPr>
                <w:rFonts w:ascii="黑体" w:eastAsia="黑体" w:hAnsi="黑体"/>
                <w:sz w:val="18"/>
                <w:szCs w:val="18"/>
              </w:rPr>
              <w:t>1：</w:t>
            </w:r>
            <w:r w:rsidRPr="00F65813">
              <w:rPr>
                <w:rFonts w:ascii="宋体" w:hAnsi="宋体"/>
                <w:sz w:val="18"/>
                <w:szCs w:val="18"/>
              </w:rPr>
              <w:t>表中“－”表示此区域不应</w:t>
            </w:r>
            <w:r w:rsidRPr="00F65813">
              <w:rPr>
                <w:rFonts w:ascii="宋体" w:hAnsi="宋体" w:hint="eastAsia"/>
                <w:sz w:val="18"/>
                <w:szCs w:val="18"/>
              </w:rPr>
              <w:t>设置</w:t>
            </w:r>
            <w:r w:rsidRPr="00F65813">
              <w:rPr>
                <w:rFonts w:ascii="宋体" w:hAnsi="宋体"/>
                <w:sz w:val="18"/>
                <w:szCs w:val="18"/>
              </w:rPr>
              <w:t>景观照明，故不作要求</w:t>
            </w:r>
          </w:p>
          <w:p w:rsidR="00F65813" w:rsidRDefault="00F65813">
            <w:pPr>
              <w:keepNext/>
              <w:spacing w:after="0"/>
              <w:ind w:firstLine="360"/>
              <w:jc w:val="left"/>
              <w:rPr>
                <w:rFonts w:ascii="宋体" w:hAnsi="宋体"/>
                <w:sz w:val="18"/>
                <w:szCs w:val="18"/>
              </w:rPr>
            </w:pPr>
            <w:r w:rsidRPr="00F65813">
              <w:rPr>
                <w:rFonts w:ascii="黑体" w:eastAsia="黑体" w:hAnsi="黑体" w:hint="eastAsia"/>
                <w:sz w:val="18"/>
                <w:szCs w:val="18"/>
              </w:rPr>
              <w:t>注</w:t>
            </w:r>
            <w:r w:rsidRPr="00F65813">
              <w:rPr>
                <w:rFonts w:ascii="黑体" w:eastAsia="黑体" w:hAnsi="黑体"/>
                <w:sz w:val="18"/>
                <w:szCs w:val="18"/>
              </w:rPr>
              <w:t>2：</w:t>
            </w:r>
            <w:r w:rsidRPr="00F65813">
              <w:rPr>
                <w:rFonts w:ascii="宋体" w:hAnsi="宋体"/>
                <w:sz w:val="18"/>
                <w:szCs w:val="18"/>
              </w:rPr>
              <w:t>表中表面最大亮度限值是在晴天夜晚环境下测取的，测量角度为媒体立面正前方，测量距离以成像亮度测试设备拍摄画面能够完整包含被测建筑为准，其中多层建筑的测量距离为50-100米，高层、超高层建筑为200-300米</w:t>
            </w:r>
          </w:p>
        </w:tc>
      </w:tr>
    </w:tbl>
    <w:p w:rsidR="00F65813" w:rsidRDefault="00F65813">
      <w:pPr>
        <w:spacing w:after="0"/>
        <w:ind w:firstLine="360"/>
        <w:jc w:val="left"/>
        <w:rPr>
          <w:rFonts w:eastAsia="黑体"/>
          <w:sz w:val="18"/>
          <w:szCs w:val="18"/>
        </w:rPr>
      </w:pPr>
      <w:bookmarkStart w:id="147" w:name="_Toc71206560"/>
    </w:p>
    <w:p w:rsidR="00F65813" w:rsidRDefault="00EB0B4C">
      <w:pPr>
        <w:pStyle w:val="a4"/>
        <w:numPr>
          <w:ilvl w:val="0"/>
          <w:numId w:val="0"/>
        </w:numPr>
        <w:spacing w:before="156" w:after="156"/>
        <w:rPr>
          <w:rFonts w:ascii="Times New Roman" w:cs="Times New Roman"/>
        </w:rPr>
      </w:pPr>
      <w:r>
        <w:rPr>
          <w:rFonts w:hAnsi="黑体" w:hint="eastAsia"/>
        </w:rPr>
        <w:t>4</w:t>
      </w:r>
      <w:r>
        <w:rPr>
          <w:rFonts w:hAnsi="黑体"/>
        </w:rPr>
        <w:t xml:space="preserve">.3  </w:t>
      </w:r>
      <w:r>
        <w:rPr>
          <w:rFonts w:ascii="Times New Roman" w:cs="Times New Roman" w:hint="eastAsia"/>
        </w:rPr>
        <w:t>设置要求</w:t>
      </w:r>
      <w:bookmarkEnd w:id="147"/>
    </w:p>
    <w:p w:rsidR="00F65813" w:rsidRDefault="00EB0B4C">
      <w:pPr>
        <w:widowControl/>
        <w:spacing w:before="50" w:after="50"/>
        <w:jc w:val="left"/>
        <w:outlineLvl w:val="3"/>
        <w:rPr>
          <w:rFonts w:hAnsiTheme="minorHAnsi"/>
        </w:rPr>
      </w:pPr>
      <w:r>
        <w:rPr>
          <w:rFonts w:ascii="黑体" w:eastAsia="黑体" w:hAnsi="黑体" w:hint="eastAsia"/>
        </w:rPr>
        <w:t>4</w:t>
      </w:r>
      <w:r>
        <w:rPr>
          <w:rFonts w:ascii="黑体" w:eastAsia="黑体" w:hAnsi="黑体"/>
        </w:rPr>
        <w:t>.</w:t>
      </w:r>
      <w:r>
        <w:rPr>
          <w:rFonts w:hAnsi="黑体"/>
        </w:rPr>
        <w:t>3.1</w:t>
      </w:r>
      <w:r>
        <w:rPr>
          <w:rFonts w:ascii="宋体" w:hAnsi="宋体" w:cs="黑体" w:hint="eastAsia"/>
        </w:rPr>
        <w:t>禁止情形：</w:t>
      </w:r>
    </w:p>
    <w:p w:rsidR="00F65813" w:rsidRDefault="00EB0B4C">
      <w:pPr>
        <w:widowControl/>
        <w:spacing w:before="50" w:after="50"/>
        <w:ind w:left="420"/>
        <w:jc w:val="left"/>
        <w:rPr>
          <w:rFonts w:ascii="宋体" w:hAnsi="宋体" w:cs="黑体"/>
        </w:rPr>
      </w:pPr>
      <w:bookmarkStart w:id="148" w:name="_Toc71206561"/>
      <w:r>
        <w:rPr>
          <w:rFonts w:ascii="宋体" w:hAnsi="宋体" w:cs="黑体" w:hint="eastAsia"/>
        </w:rPr>
        <w:t xml:space="preserve">a)  </w:t>
      </w:r>
      <w:r>
        <w:rPr>
          <w:rFonts w:ascii="宋体" w:hAnsi="宋体" w:cs="黑体" w:hint="eastAsia"/>
        </w:rPr>
        <w:t>使用与交通、航运等标识信号灯易造成视觉上混淆的景观照明设施；</w:t>
      </w:r>
    </w:p>
    <w:p w:rsidR="00F65813" w:rsidRDefault="00EB0B4C">
      <w:pPr>
        <w:widowControl/>
        <w:spacing w:before="50" w:after="50"/>
        <w:ind w:left="420"/>
        <w:jc w:val="left"/>
        <w:rPr>
          <w:rFonts w:ascii="宋体" w:hAnsi="宋体" w:cs="黑体"/>
        </w:rPr>
      </w:pPr>
      <w:r>
        <w:rPr>
          <w:rFonts w:ascii="宋体" w:hAnsi="宋体" w:cs="黑体" w:hint="eastAsia"/>
        </w:rPr>
        <w:t xml:space="preserve">b)  </w:t>
      </w:r>
      <w:r>
        <w:rPr>
          <w:rFonts w:ascii="宋体" w:hAnsi="宋体" w:cs="黑体" w:hint="eastAsia"/>
        </w:rPr>
        <w:t>设置容易对机动车、非机动车驾驶员和行人产生眩光干扰的景观照明设施；</w:t>
      </w:r>
    </w:p>
    <w:p w:rsidR="00F65813" w:rsidRDefault="00EB0B4C">
      <w:pPr>
        <w:widowControl/>
        <w:spacing w:before="50" w:after="50"/>
        <w:ind w:left="420"/>
        <w:jc w:val="left"/>
        <w:rPr>
          <w:rFonts w:ascii="宋体" w:hAnsi="宋体" w:cs="黑体"/>
        </w:rPr>
      </w:pPr>
      <w:r>
        <w:rPr>
          <w:rFonts w:ascii="宋体" w:hAnsi="宋体" w:cs="黑体" w:hint="eastAsia"/>
        </w:rPr>
        <w:t xml:space="preserve">c)  </w:t>
      </w:r>
      <w:r>
        <w:rPr>
          <w:rFonts w:ascii="宋体" w:hAnsi="宋体" w:cs="黑体" w:hint="eastAsia"/>
        </w:rPr>
        <w:t>设置直接射向住宅、学校（幼托机构）、医院、养老机构方向的投光、激光等景观照明设施（经批准的临时性重大节庆活动除外）；</w:t>
      </w:r>
    </w:p>
    <w:p w:rsidR="00F65813" w:rsidRDefault="00EB0B4C">
      <w:pPr>
        <w:widowControl/>
        <w:spacing w:before="50" w:after="50"/>
        <w:ind w:left="420"/>
        <w:jc w:val="left"/>
        <w:rPr>
          <w:rFonts w:ascii="宋体" w:hAnsi="宋体" w:cs="黑体"/>
        </w:rPr>
      </w:pPr>
      <w:r>
        <w:rPr>
          <w:rFonts w:ascii="宋体" w:hAnsi="宋体" w:cs="黑体" w:hint="eastAsia"/>
        </w:rPr>
        <w:t>d)</w:t>
      </w:r>
      <w:r>
        <w:rPr>
          <w:rFonts w:ascii="宋体" w:hAnsi="宋体" w:cs="黑体" w:hint="eastAsia"/>
        </w:rPr>
        <w:t xml:space="preserve">  </w:t>
      </w:r>
      <w:r>
        <w:rPr>
          <w:rFonts w:ascii="宋体" w:hAnsi="宋体" w:cs="黑体" w:hint="eastAsia"/>
        </w:rPr>
        <w:t>使用严重影响植物生长的景观照明设施；</w:t>
      </w:r>
    </w:p>
    <w:p w:rsidR="00F65813" w:rsidRDefault="00EB0B4C">
      <w:pPr>
        <w:widowControl/>
        <w:spacing w:before="50" w:after="50"/>
        <w:ind w:left="420"/>
        <w:jc w:val="left"/>
        <w:rPr>
          <w:rFonts w:ascii="宋体" w:hAnsi="宋体" w:cs="黑体"/>
        </w:rPr>
      </w:pPr>
      <w:r>
        <w:rPr>
          <w:rFonts w:ascii="宋体" w:hAnsi="宋体" w:cs="黑体" w:hint="eastAsia"/>
        </w:rPr>
        <w:t xml:space="preserve">e)  </w:t>
      </w:r>
      <w:r>
        <w:rPr>
          <w:rFonts w:ascii="宋体" w:hAnsi="宋体" w:cs="黑体" w:hint="eastAsia"/>
        </w:rPr>
        <w:t>在动物栖息区域及相关保护区设置景观照明设施；</w:t>
      </w:r>
    </w:p>
    <w:p w:rsidR="00F65813" w:rsidRDefault="00EB0B4C">
      <w:pPr>
        <w:widowControl/>
        <w:spacing w:before="50" w:after="50"/>
        <w:ind w:left="420"/>
        <w:jc w:val="left"/>
        <w:rPr>
          <w:rFonts w:ascii="宋体" w:hAnsi="宋体" w:cs="黑体"/>
        </w:rPr>
      </w:pPr>
      <w:r>
        <w:rPr>
          <w:rFonts w:ascii="宋体" w:hAnsi="宋体" w:cs="黑体" w:hint="eastAsia"/>
        </w:rPr>
        <w:t xml:space="preserve">f)  </w:t>
      </w:r>
      <w:r>
        <w:rPr>
          <w:rFonts w:ascii="宋体" w:hAnsi="宋体" w:cs="黑体" w:hint="eastAsia"/>
        </w:rPr>
        <w:t>设置影响园林、古建筑等自然和历史文化遗产保护的景观照明设施；</w:t>
      </w:r>
    </w:p>
    <w:p w:rsidR="00F65813" w:rsidRDefault="00EB0B4C">
      <w:pPr>
        <w:widowControl/>
        <w:spacing w:before="50" w:after="50"/>
        <w:ind w:left="420"/>
        <w:jc w:val="left"/>
        <w:rPr>
          <w:rFonts w:ascii="宋体" w:hAnsi="宋体" w:cs="黑体"/>
        </w:rPr>
      </w:pPr>
      <w:r>
        <w:rPr>
          <w:rFonts w:ascii="宋体" w:hAnsi="宋体" w:cs="黑体" w:hint="eastAsia"/>
        </w:rPr>
        <w:t xml:space="preserve">g)  </w:t>
      </w:r>
      <w:r>
        <w:rPr>
          <w:rFonts w:ascii="宋体" w:hAnsi="宋体" w:cs="黑体" w:hint="eastAsia"/>
        </w:rPr>
        <w:t>在国家公园、自然保护区、天文台所在地区设置景观照明设施</w:t>
      </w:r>
      <w:r>
        <w:rPr>
          <w:rFonts w:ascii="宋体" w:hAnsi="宋体" w:cs="黑体" w:hint="eastAsia"/>
        </w:rPr>
        <w:t>(</w:t>
      </w:r>
      <w:r>
        <w:rPr>
          <w:rFonts w:ascii="宋体" w:hAnsi="宋体" w:cs="黑体" w:hint="eastAsia"/>
        </w:rPr>
        <w:t>兼具功能照明的除外</w:t>
      </w:r>
      <w:r>
        <w:rPr>
          <w:rFonts w:ascii="宋体" w:hAnsi="宋体" w:cs="黑体" w:hint="eastAsia"/>
        </w:rPr>
        <w:t>)</w:t>
      </w:r>
      <w:r>
        <w:rPr>
          <w:rFonts w:ascii="宋体" w:hAnsi="宋体" w:cs="黑体" w:hint="eastAsia"/>
        </w:rPr>
        <w:t>；</w:t>
      </w:r>
    </w:p>
    <w:p w:rsidR="00F65813" w:rsidRDefault="00EB0B4C">
      <w:pPr>
        <w:widowControl/>
        <w:spacing w:before="50" w:after="50"/>
        <w:ind w:left="420"/>
        <w:jc w:val="left"/>
        <w:rPr>
          <w:rFonts w:ascii="宋体" w:hAnsi="宋体" w:cs="黑体"/>
        </w:rPr>
      </w:pPr>
      <w:r>
        <w:rPr>
          <w:rFonts w:ascii="宋体" w:hAnsi="宋体" w:cs="黑体" w:hint="eastAsia"/>
        </w:rPr>
        <w:t>h</w:t>
      </w:r>
      <w:r>
        <w:rPr>
          <w:rFonts w:ascii="宋体" w:hAnsi="宋体" w:cs="黑体"/>
        </w:rPr>
        <w:t xml:space="preserve">) </w:t>
      </w:r>
      <w:r w:rsidR="00F65813" w:rsidRPr="00F65813">
        <w:rPr>
          <w:rFonts w:ascii="宋体" w:hAnsi="宋体" w:cs="黑体"/>
          <w:color w:val="000000" w:themeColor="text1"/>
        </w:rPr>
        <w:t xml:space="preserve"> 使用</w:t>
      </w:r>
      <w:r w:rsidR="00F65813" w:rsidRPr="00F65813">
        <w:rPr>
          <w:rFonts w:ascii="宋体" w:hAnsi="宋体" w:cs="黑体" w:hint="eastAsia"/>
          <w:color w:val="FF0000"/>
        </w:rPr>
        <w:t>高能耗探照灯等景观照</w:t>
      </w:r>
      <w:r w:rsidR="00F65813" w:rsidRPr="00F65813">
        <w:rPr>
          <w:rFonts w:ascii="宋体" w:hAnsi="宋体" w:cs="黑体" w:hint="eastAsia"/>
        </w:rPr>
        <w:t>明设施（经批准的重大节庆活动临时性使用除外）</w:t>
      </w:r>
      <w:r>
        <w:rPr>
          <w:rFonts w:ascii="宋体" w:hAnsi="宋体" w:cs="黑体" w:hint="eastAsia"/>
        </w:rPr>
        <w:t>；</w:t>
      </w:r>
    </w:p>
    <w:p w:rsidR="00F65813" w:rsidRDefault="00EB0B4C">
      <w:pPr>
        <w:widowControl/>
        <w:spacing w:before="50" w:after="50"/>
        <w:ind w:left="420"/>
        <w:jc w:val="left"/>
        <w:rPr>
          <w:rFonts w:ascii="宋体" w:hAnsi="宋体" w:cs="黑体"/>
        </w:rPr>
      </w:pPr>
      <w:r>
        <w:rPr>
          <w:rFonts w:ascii="宋体" w:hAnsi="宋体" w:cs="黑体" w:hint="eastAsia"/>
        </w:rPr>
        <w:t xml:space="preserve">i)  </w:t>
      </w:r>
      <w:r>
        <w:rPr>
          <w:rFonts w:ascii="宋体" w:hAnsi="宋体" w:cs="黑体" w:hint="eastAsia"/>
        </w:rPr>
        <w:t>在市、区人民政府确定的禁设区域或载体上设置景观照明设施。</w:t>
      </w:r>
    </w:p>
    <w:p w:rsidR="00F65813" w:rsidRDefault="00EB0B4C">
      <w:pPr>
        <w:pStyle w:val="a4"/>
        <w:numPr>
          <w:ilvl w:val="0"/>
          <w:numId w:val="0"/>
        </w:numPr>
        <w:spacing w:before="156" w:after="156"/>
        <w:rPr>
          <w:rFonts w:ascii="Times New Roman" w:cs="Times New Roman"/>
        </w:rPr>
      </w:pPr>
      <w:r>
        <w:rPr>
          <w:rFonts w:hAnsi="黑体" w:hint="eastAsia"/>
        </w:rPr>
        <w:t>4</w:t>
      </w:r>
      <w:r>
        <w:rPr>
          <w:rFonts w:hAnsi="黑体"/>
        </w:rPr>
        <w:t xml:space="preserve">.4  </w:t>
      </w:r>
      <w:r>
        <w:rPr>
          <w:rFonts w:ascii="Times New Roman" w:cs="Times New Roman" w:hint="eastAsia"/>
        </w:rPr>
        <w:t>干扰光的限制</w:t>
      </w:r>
      <w:bookmarkEnd w:id="148"/>
    </w:p>
    <w:p w:rsidR="00F65813" w:rsidRDefault="00EB0B4C">
      <w:pPr>
        <w:widowControl/>
        <w:spacing w:before="50" w:after="50"/>
        <w:jc w:val="left"/>
        <w:outlineLvl w:val="3"/>
        <w:rPr>
          <w:rFonts w:ascii="宋体" w:hAnsi="宋体" w:cs="黑体"/>
        </w:rPr>
      </w:pPr>
      <w:r>
        <w:rPr>
          <w:rFonts w:ascii="黑体" w:eastAsia="黑体" w:hAnsi="黑体" w:hint="eastAsia"/>
        </w:rPr>
        <w:t>4</w:t>
      </w:r>
      <w:r>
        <w:rPr>
          <w:rFonts w:ascii="黑体" w:eastAsia="黑体" w:hAnsi="黑体"/>
        </w:rPr>
        <w:t>.4</w:t>
      </w:r>
      <w:r>
        <w:rPr>
          <w:rFonts w:hAnsi="黑体"/>
        </w:rPr>
        <w:t xml:space="preserve">.1 </w:t>
      </w:r>
      <w:r>
        <w:rPr>
          <w:rFonts w:ascii="宋体" w:hAnsi="宋体" w:cs="黑体" w:hint="eastAsia"/>
        </w:rPr>
        <w:t>设置景观照明应控制溢散光，以免形成干扰光。</w:t>
      </w:r>
    </w:p>
    <w:p w:rsidR="00F65813" w:rsidRDefault="00EB0B4C">
      <w:pPr>
        <w:widowControl/>
        <w:spacing w:before="50" w:after="50"/>
        <w:jc w:val="left"/>
        <w:outlineLvl w:val="3"/>
        <w:rPr>
          <w:rFonts w:ascii="宋体" w:hAnsi="宋体" w:cs="黑体"/>
        </w:rPr>
      </w:pPr>
      <w:r>
        <w:rPr>
          <w:rFonts w:ascii="黑体" w:eastAsia="黑体" w:hAnsi="黑体" w:hint="eastAsia"/>
        </w:rPr>
        <w:t>4</w:t>
      </w:r>
      <w:r>
        <w:rPr>
          <w:rFonts w:ascii="黑体" w:eastAsia="黑体" w:hAnsi="黑体"/>
        </w:rPr>
        <w:t>.4</w:t>
      </w:r>
      <w:r>
        <w:rPr>
          <w:rFonts w:hAnsi="黑体"/>
        </w:rPr>
        <w:t xml:space="preserve">.2 </w:t>
      </w:r>
      <w:r>
        <w:rPr>
          <w:rFonts w:ascii="宋体" w:hAnsi="宋体" w:cs="黑体" w:hint="eastAsia"/>
        </w:rPr>
        <w:t>为了限制干扰光，在进行景观照明设计时应符合下列规定：</w:t>
      </w:r>
    </w:p>
    <w:p w:rsidR="00F65813" w:rsidRDefault="00EB0B4C">
      <w:pPr>
        <w:pStyle w:val="a4"/>
        <w:numPr>
          <w:ilvl w:val="0"/>
          <w:numId w:val="0"/>
        </w:numPr>
        <w:spacing w:beforeLines="0" w:afterLines="0"/>
        <w:ind w:left="420"/>
        <w:outlineLvl w:val="9"/>
        <w:rPr>
          <w:rFonts w:asciiTheme="minorEastAsia" w:eastAsiaTheme="minorEastAsia" w:hAnsiTheme="minorEastAsia"/>
        </w:rPr>
      </w:pPr>
      <w:r>
        <w:rPr>
          <w:rFonts w:ascii="宋体" w:eastAsia="宋体" w:hAnsi="宋体" w:hint="eastAsia"/>
          <w:kern w:val="2"/>
        </w:rPr>
        <w:t xml:space="preserve">a)  </w:t>
      </w:r>
      <w:r>
        <w:rPr>
          <w:rFonts w:asciiTheme="minorEastAsia" w:eastAsiaTheme="minorEastAsia" w:hAnsiTheme="minorEastAsia" w:cs="Times New Roman" w:hint="eastAsia"/>
        </w:rPr>
        <w:t>应合理选定照明标准值</w:t>
      </w:r>
      <w:r>
        <w:rPr>
          <w:rFonts w:asciiTheme="minorEastAsia" w:eastAsiaTheme="minorEastAsia" w:hAnsiTheme="minorEastAsia" w:cs="Times New Roman"/>
        </w:rPr>
        <w:t>(</w:t>
      </w:r>
      <w:r>
        <w:rPr>
          <w:rFonts w:asciiTheme="minorEastAsia" w:eastAsiaTheme="minorEastAsia" w:hAnsiTheme="minorEastAsia" w:cs="Times New Roman" w:hint="eastAsia"/>
        </w:rPr>
        <w:t>照度</w:t>
      </w:r>
      <w:r>
        <w:rPr>
          <w:rFonts w:asciiTheme="minorEastAsia" w:eastAsiaTheme="minorEastAsia" w:hAnsiTheme="minorEastAsia" w:cs="Times New Roman"/>
        </w:rPr>
        <w:t>/</w:t>
      </w:r>
      <w:r>
        <w:rPr>
          <w:rFonts w:asciiTheme="minorEastAsia" w:eastAsiaTheme="minorEastAsia" w:hAnsiTheme="minorEastAsia" w:cs="Times New Roman" w:hint="eastAsia"/>
        </w:rPr>
        <w:t>亮度</w:t>
      </w:r>
      <w:r>
        <w:rPr>
          <w:rFonts w:asciiTheme="minorEastAsia" w:eastAsiaTheme="minorEastAsia" w:hAnsiTheme="minorEastAsia" w:cs="Times New Roman"/>
        </w:rPr>
        <w:t>）</w:t>
      </w:r>
      <w:r>
        <w:rPr>
          <w:rFonts w:asciiTheme="minorEastAsia" w:eastAsiaTheme="minorEastAsia" w:hAnsiTheme="minorEastAsia" w:cs="Times New Roman" w:hint="eastAsia"/>
        </w:rPr>
        <w:t>，并对可能受到景观照明光干扰影响的对象进行分析和评估；</w:t>
      </w:r>
    </w:p>
    <w:p w:rsidR="00F65813" w:rsidRDefault="00EB0B4C">
      <w:pPr>
        <w:pStyle w:val="a4"/>
        <w:numPr>
          <w:ilvl w:val="0"/>
          <w:numId w:val="0"/>
        </w:numPr>
        <w:spacing w:beforeLines="0" w:afterLines="0"/>
        <w:ind w:left="420"/>
        <w:outlineLvl w:val="9"/>
        <w:rPr>
          <w:rFonts w:asciiTheme="minorEastAsia" w:eastAsiaTheme="minorEastAsia" w:hAnsiTheme="minorEastAsia"/>
        </w:rPr>
      </w:pPr>
      <w:r>
        <w:rPr>
          <w:rFonts w:ascii="宋体" w:eastAsia="宋体" w:hAnsi="宋体" w:hint="eastAsia"/>
          <w:kern w:val="2"/>
        </w:rPr>
        <w:t xml:space="preserve">b)  </w:t>
      </w:r>
      <w:r>
        <w:rPr>
          <w:rFonts w:asciiTheme="minorEastAsia" w:eastAsiaTheme="minorEastAsia" w:hAnsiTheme="minorEastAsia" w:cs="Times New Roman" w:hint="eastAsia"/>
        </w:rPr>
        <w:t>应检查被照区域之外的光通量，评估其对环境的影响，选择技术合理、节能并对人和周围环境、建筑产生光干扰最小的方案；</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宋体" w:eastAsia="宋体" w:hAnsi="宋体" w:hint="eastAsia"/>
          <w:kern w:val="2"/>
        </w:rPr>
        <w:t xml:space="preserve">c)  </w:t>
      </w:r>
      <w:r>
        <w:rPr>
          <w:rFonts w:asciiTheme="minorEastAsia" w:eastAsiaTheme="minorEastAsia" w:hAnsiTheme="minorEastAsia" w:cs="Times New Roman" w:hint="eastAsia"/>
        </w:rPr>
        <w:t>应根据各分区的具体情况，制定合理的景观照明启闭时段，合理筛选在关闭时段内仍需运行的兼具功能照明的景观照明灯具类型、数量，限制其光照强度，在节能减排和保护生态环境的同时，保障市民的夜间生活和出行安全；</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宋体" w:eastAsia="宋体" w:hAnsi="宋体" w:hint="eastAsia"/>
          <w:kern w:val="2"/>
        </w:rPr>
        <w:t xml:space="preserve">d)  </w:t>
      </w:r>
      <w:r>
        <w:rPr>
          <w:rFonts w:asciiTheme="minorEastAsia" w:eastAsiaTheme="minorEastAsia" w:hAnsiTheme="minorEastAsia" w:cs="Times New Roman" w:hint="eastAsia"/>
        </w:rPr>
        <w:t>在</w:t>
      </w:r>
      <w:r w:rsidR="00F65813" w:rsidRPr="00F65813">
        <w:rPr>
          <w:rFonts w:asciiTheme="minorEastAsia" w:eastAsiaTheme="minorEastAsia" w:hAnsiTheme="minorEastAsia" w:cs="Times New Roman" w:hint="eastAsia"/>
        </w:rPr>
        <w:t>住宅</w:t>
      </w:r>
      <w:r>
        <w:rPr>
          <w:rFonts w:asciiTheme="minorEastAsia" w:eastAsiaTheme="minorEastAsia" w:hAnsiTheme="minorEastAsia" w:cs="Times New Roman" w:hint="eastAsia"/>
        </w:rPr>
        <w:t>建筑周边设置各类景观照明时，应计算核对朝向居室窗户的灯具表面亮度</w:t>
      </w:r>
      <w:r>
        <w:rPr>
          <w:rFonts w:asciiTheme="minorEastAsia" w:eastAsiaTheme="minorEastAsia" w:hAnsiTheme="minorEastAsia" w:cs="Times New Roman"/>
        </w:rPr>
        <w:t>(</w:t>
      </w:r>
      <w:r>
        <w:rPr>
          <w:rFonts w:asciiTheme="minorEastAsia" w:eastAsiaTheme="minorEastAsia" w:hAnsiTheme="minorEastAsia" w:cs="Times New Roman"/>
        </w:rPr>
        <w:t>指向居室窗户的最大光强）和窗户立面上的照度，</w:t>
      </w:r>
      <w:r w:rsidR="00F65813" w:rsidRPr="00F65813">
        <w:rPr>
          <w:rFonts w:asciiTheme="minorEastAsia" w:eastAsiaTheme="minorEastAsia" w:hAnsiTheme="minorEastAsia" w:cs="Times New Roman" w:hint="eastAsia"/>
        </w:rPr>
        <w:t>居室窗户外表面的垂直照度的限值不应超过表</w:t>
      </w:r>
      <w:r w:rsidR="00F65813" w:rsidRPr="00F65813">
        <w:rPr>
          <w:rFonts w:asciiTheme="minorEastAsia" w:eastAsiaTheme="minorEastAsia" w:hAnsiTheme="minorEastAsia" w:cs="Times New Roman"/>
        </w:rPr>
        <w:t>4</w:t>
      </w:r>
      <w:r w:rsidR="00F65813" w:rsidRPr="00F65813">
        <w:rPr>
          <w:rFonts w:asciiTheme="minorEastAsia" w:eastAsiaTheme="minorEastAsia" w:hAnsiTheme="minorEastAsia" w:cs="Times New Roman" w:hint="eastAsia"/>
        </w:rPr>
        <w:t>的规定；</w:t>
      </w:r>
    </w:p>
    <w:p w:rsidR="00F65813" w:rsidRDefault="00EB0B4C">
      <w:pPr>
        <w:pStyle w:val="a4"/>
        <w:numPr>
          <w:ilvl w:val="0"/>
          <w:numId w:val="0"/>
        </w:numPr>
        <w:spacing w:beforeLines="0" w:afterLines="0"/>
        <w:ind w:left="420"/>
        <w:outlineLvl w:val="9"/>
        <w:rPr>
          <w:rFonts w:asciiTheme="minorEastAsia" w:eastAsiaTheme="minorEastAsia" w:hAnsiTheme="minorEastAsia"/>
        </w:rPr>
      </w:pPr>
      <w:r>
        <w:rPr>
          <w:rFonts w:ascii="宋体" w:eastAsia="宋体" w:hAnsi="宋体" w:hint="eastAsia"/>
          <w:kern w:val="2"/>
        </w:rPr>
        <w:lastRenderedPageBreak/>
        <w:t xml:space="preserve">e)  </w:t>
      </w:r>
      <w:r>
        <w:rPr>
          <w:rFonts w:asciiTheme="minorEastAsia" w:eastAsiaTheme="minorEastAsia" w:hAnsiTheme="minorEastAsia" w:cs="Times New Roman" w:hint="eastAsia"/>
        </w:rPr>
        <w:t>在城市机动车道路两侧设置景观照明时，应注意避免对行人和驾驶员造成视觉干扰，进行防眩光的分析和评价；</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宋体" w:eastAsia="宋体" w:hAnsi="宋体" w:hint="eastAsia"/>
          <w:kern w:val="2"/>
        </w:rPr>
        <w:t xml:space="preserve">f)  </w:t>
      </w:r>
      <w:r>
        <w:rPr>
          <w:rFonts w:asciiTheme="minorEastAsia" w:eastAsiaTheme="minorEastAsia" w:hAnsiTheme="minorEastAsia" w:cs="Times New Roman" w:hint="eastAsia"/>
        </w:rPr>
        <w:t>在城市河道、水体等滨水空间两侧设置景观照明时，应避免屏蔽和弱化通航标识的可视度，避免直射光以及水面反射光对航行船只的行驶安全造成影响。</w:t>
      </w:r>
    </w:p>
    <w:p w:rsidR="00F65813" w:rsidRDefault="00EB0B4C">
      <w:pPr>
        <w:pStyle w:val="a4"/>
        <w:numPr>
          <w:ilvl w:val="0"/>
          <w:numId w:val="0"/>
        </w:numPr>
        <w:spacing w:before="156" w:after="156"/>
        <w:jc w:val="center"/>
        <w:outlineLvl w:val="9"/>
        <w:rPr>
          <w:rFonts w:asciiTheme="minorEastAsia" w:eastAsiaTheme="minorEastAsia" w:hAnsiTheme="minorEastAsia" w:cs="Times New Roman"/>
        </w:rPr>
      </w:pPr>
      <w:r>
        <w:rPr>
          <w:rFonts w:hAnsi="黑体" w:cs="Times New Roman"/>
        </w:rPr>
        <w:t>表</w:t>
      </w:r>
      <w:r>
        <w:rPr>
          <w:rFonts w:hAnsi="黑体" w:cs="Times New Roman"/>
        </w:rPr>
        <w:t xml:space="preserve">4  </w:t>
      </w:r>
      <w:r>
        <w:rPr>
          <w:rFonts w:hAnsi="黑体" w:cs="Times New Roman" w:hint="eastAsia"/>
        </w:rPr>
        <w:t>住宅建筑居室窗户外表面上</w:t>
      </w:r>
      <w:r>
        <w:rPr>
          <w:rFonts w:hAnsi="黑体" w:cs="Times New Roman" w:hint="eastAsia"/>
        </w:rPr>
        <w:t>垂直照度的限值</w:t>
      </w:r>
    </w:p>
    <w:p w:rsidR="00F65813" w:rsidRDefault="00EB0B4C">
      <w:pPr>
        <w:pStyle w:val="af4"/>
        <w:widowControl w:val="0"/>
        <w:numPr>
          <w:ilvl w:val="0"/>
          <w:numId w:val="0"/>
        </w:numPr>
        <w:tabs>
          <w:tab w:val="left" w:pos="360"/>
        </w:tabs>
        <w:spacing w:beforeLines="0" w:afterLines="0"/>
        <w:ind w:left="420"/>
        <w:jc w:val="right"/>
        <w:rPr>
          <w:rFonts w:ascii="Times New Roman" w:eastAsia="宋体" w:cs="Times New Roman"/>
          <w:sz w:val="18"/>
        </w:rPr>
      </w:pPr>
      <w:r>
        <w:rPr>
          <w:rFonts w:ascii="Times New Roman" w:eastAsia="宋体" w:cs="Times New Roman" w:hint="eastAsia"/>
          <w:sz w:val="18"/>
        </w:rPr>
        <w:t>单位为勒克斯</w:t>
      </w:r>
    </w:p>
    <w:tbl>
      <w:tblPr>
        <w:tblW w:w="5083" w:type="pct"/>
        <w:jc w:val="center"/>
        <w:shd w:val="clear" w:color="auto" w:fill="CED7E7"/>
        <w:tblLayout w:type="fixed"/>
        <w:tblLook w:val="04A0"/>
      </w:tblPr>
      <w:tblGrid>
        <w:gridCol w:w="1254"/>
        <w:gridCol w:w="1511"/>
        <w:gridCol w:w="1382"/>
        <w:gridCol w:w="1380"/>
        <w:gridCol w:w="1382"/>
        <w:gridCol w:w="1381"/>
        <w:gridCol w:w="1382"/>
      </w:tblGrid>
      <w:tr w:rsidR="00F65813">
        <w:trPr>
          <w:cantSplit/>
          <w:trHeight w:val="20"/>
          <w:jc w:val="center"/>
        </w:trPr>
        <w:tc>
          <w:tcPr>
            <w:tcW w:w="2765" w:type="dxa"/>
            <w:gridSpan w:val="2"/>
            <w:tcBorders>
              <w:top w:val="single" w:sz="4" w:space="0" w:color="000000"/>
              <w:left w:val="single" w:sz="2" w:space="0" w:color="000000"/>
              <w:bottom w:val="single" w:sz="2" w:space="0" w:color="000000"/>
              <w:right w:val="single" w:sz="4" w:space="0" w:color="000000"/>
            </w:tcBorders>
            <w:shd w:val="clear" w:color="auto" w:fill="auto"/>
            <w:tcMar>
              <w:top w:w="80" w:type="dxa"/>
              <w:left w:w="80" w:type="dxa"/>
              <w:bottom w:w="80" w:type="dxa"/>
              <w:right w:w="80" w:type="dxa"/>
            </w:tcMar>
            <w:vAlign w:val="center"/>
          </w:tcPr>
          <w:p w:rsidR="00F65813" w:rsidRPr="00F65813" w:rsidRDefault="00F65813">
            <w:pPr>
              <w:spacing w:before="60" w:after="60"/>
              <w:jc w:val="center"/>
              <w:rPr>
                <w:rFonts w:ascii="宋体" w:hAnsi="宋体"/>
                <w:color w:val="000000" w:themeColor="text1"/>
              </w:rPr>
            </w:pPr>
            <w:r w:rsidRPr="00F65813">
              <w:rPr>
                <w:rFonts w:ascii="宋体" w:hAnsi="宋体"/>
                <w:color w:val="000000" w:themeColor="text1"/>
              </w:rPr>
              <w:t xml:space="preserve">环境区域 </w:t>
            </w:r>
          </w:p>
        </w:tc>
        <w:tc>
          <w:tcPr>
            <w:tcW w:w="1382" w:type="dxa"/>
            <w:tcBorders>
              <w:top w:val="single" w:sz="4" w:space="0" w:color="000000"/>
              <w:left w:val="single" w:sz="4"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spacing w:before="60" w:after="60"/>
              <w:jc w:val="center"/>
              <w:rPr>
                <w:rFonts w:ascii="宋体" w:hAnsi="宋体"/>
                <w:color w:val="000000" w:themeColor="text1"/>
              </w:rPr>
            </w:pPr>
            <w:r w:rsidRPr="00F65813">
              <w:rPr>
                <w:rFonts w:ascii="宋体" w:hAnsi="宋体"/>
                <w:color w:val="000000" w:themeColor="text1"/>
              </w:rPr>
              <w:t>E0</w:t>
            </w:r>
          </w:p>
        </w:tc>
        <w:tc>
          <w:tcPr>
            <w:tcW w:w="1380"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spacing w:before="60" w:after="60"/>
              <w:jc w:val="center"/>
              <w:rPr>
                <w:rFonts w:ascii="宋体" w:hAnsi="宋体"/>
                <w:color w:val="000000" w:themeColor="text1"/>
              </w:rPr>
            </w:pPr>
            <w:r w:rsidRPr="00F65813">
              <w:rPr>
                <w:rFonts w:ascii="宋体" w:hAnsi="宋体"/>
                <w:color w:val="000000" w:themeColor="text1"/>
              </w:rPr>
              <w:t>E1</w:t>
            </w:r>
          </w:p>
        </w:tc>
        <w:tc>
          <w:tcPr>
            <w:tcW w:w="1382"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spacing w:before="60" w:after="60"/>
              <w:jc w:val="center"/>
              <w:rPr>
                <w:rFonts w:ascii="宋体" w:hAnsi="宋体"/>
                <w:color w:val="000000" w:themeColor="text1"/>
              </w:rPr>
            </w:pPr>
            <w:r w:rsidRPr="00F65813">
              <w:rPr>
                <w:rFonts w:ascii="宋体" w:hAnsi="宋体"/>
                <w:color w:val="000000" w:themeColor="text1"/>
              </w:rPr>
              <w:t>E2</w:t>
            </w:r>
          </w:p>
        </w:tc>
        <w:tc>
          <w:tcPr>
            <w:tcW w:w="1381"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spacing w:before="60" w:after="60"/>
              <w:jc w:val="center"/>
              <w:rPr>
                <w:rFonts w:ascii="宋体" w:hAnsi="宋体"/>
                <w:color w:val="000000" w:themeColor="text1"/>
              </w:rPr>
            </w:pPr>
            <w:r w:rsidRPr="00F65813">
              <w:rPr>
                <w:rFonts w:ascii="宋体" w:hAnsi="宋体"/>
                <w:color w:val="000000" w:themeColor="text1"/>
              </w:rPr>
              <w:t>E3</w:t>
            </w:r>
          </w:p>
        </w:tc>
        <w:tc>
          <w:tcPr>
            <w:tcW w:w="1382" w:type="dxa"/>
            <w:tcBorders>
              <w:top w:val="single" w:sz="4"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spacing w:before="60" w:after="60"/>
              <w:jc w:val="center"/>
              <w:rPr>
                <w:rFonts w:ascii="宋体" w:hAnsi="宋体"/>
                <w:color w:val="000000" w:themeColor="text1"/>
              </w:rPr>
            </w:pPr>
            <w:r w:rsidRPr="00F65813">
              <w:rPr>
                <w:rFonts w:ascii="宋体" w:hAnsi="宋体"/>
                <w:color w:val="000000" w:themeColor="text1"/>
              </w:rPr>
              <w:t>E4</w:t>
            </w:r>
          </w:p>
        </w:tc>
      </w:tr>
      <w:tr w:rsidR="00F65813">
        <w:trPr>
          <w:cantSplit/>
          <w:trHeight w:val="20"/>
          <w:jc w:val="center"/>
        </w:trPr>
        <w:tc>
          <w:tcPr>
            <w:tcW w:w="1254" w:type="dxa"/>
            <w:vMerge w:val="restart"/>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spacing w:before="60" w:after="60"/>
              <w:jc w:val="center"/>
              <w:rPr>
                <w:rFonts w:ascii="宋体" w:hAnsi="宋体"/>
                <w:color w:val="000000" w:themeColor="text1"/>
              </w:rPr>
            </w:pPr>
            <w:r w:rsidRPr="00F65813">
              <w:rPr>
                <w:rFonts w:ascii="宋体" w:hAnsi="宋体"/>
                <w:color w:val="000000" w:themeColor="text1"/>
              </w:rPr>
              <w:t>垂直照度</w:t>
            </w:r>
          </w:p>
        </w:tc>
        <w:tc>
          <w:tcPr>
            <w:tcW w:w="1511" w:type="dxa"/>
            <w:tcBorders>
              <w:top w:val="single" w:sz="2" w:space="0" w:color="000000"/>
              <w:left w:val="single" w:sz="2" w:space="0" w:color="000000"/>
              <w:bottom w:val="single" w:sz="2" w:space="0" w:color="000000"/>
              <w:right w:val="single" w:sz="4" w:space="0" w:color="000000"/>
            </w:tcBorders>
            <w:shd w:val="clear" w:color="auto" w:fill="auto"/>
            <w:tcMar>
              <w:top w:w="80" w:type="dxa"/>
              <w:left w:w="80" w:type="dxa"/>
              <w:bottom w:w="80" w:type="dxa"/>
              <w:right w:w="80" w:type="dxa"/>
            </w:tcMar>
            <w:vAlign w:val="center"/>
          </w:tcPr>
          <w:p w:rsidR="00F65813" w:rsidRPr="00F65813" w:rsidRDefault="00F65813">
            <w:pPr>
              <w:spacing w:before="60" w:after="60"/>
              <w:jc w:val="center"/>
              <w:rPr>
                <w:rFonts w:ascii="宋体" w:hAnsi="宋体"/>
                <w:color w:val="000000" w:themeColor="text1"/>
              </w:rPr>
            </w:pPr>
            <w:r w:rsidRPr="00F65813">
              <w:rPr>
                <w:rFonts w:ascii="宋体" w:hAnsi="宋体" w:hint="eastAsia"/>
                <w:color w:val="000000" w:themeColor="text1"/>
              </w:rPr>
              <w:t>熄灯</w:t>
            </w:r>
            <w:r w:rsidRPr="00F65813">
              <w:rPr>
                <w:rFonts w:ascii="宋体" w:hAnsi="宋体"/>
                <w:color w:val="000000" w:themeColor="text1"/>
              </w:rPr>
              <w:t>时段前</w:t>
            </w:r>
          </w:p>
        </w:tc>
        <w:tc>
          <w:tcPr>
            <w:tcW w:w="1382" w:type="dxa"/>
            <w:tcBorders>
              <w:top w:val="single" w:sz="2" w:space="0" w:color="000000"/>
              <w:left w:val="single" w:sz="4"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spacing w:before="60" w:after="60"/>
              <w:jc w:val="center"/>
              <w:rPr>
                <w:rFonts w:ascii="宋体" w:hAnsi="宋体"/>
                <w:color w:val="000000" w:themeColor="text1"/>
              </w:rPr>
            </w:pPr>
            <w:r w:rsidRPr="00F65813">
              <w:rPr>
                <w:rFonts w:ascii="宋体" w:hAnsi="宋体"/>
                <w:color w:val="000000" w:themeColor="text1"/>
              </w:rPr>
              <w:t>-</w:t>
            </w:r>
          </w:p>
        </w:tc>
        <w:tc>
          <w:tcPr>
            <w:tcW w:w="138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spacing w:before="60" w:after="60"/>
              <w:jc w:val="center"/>
              <w:rPr>
                <w:rFonts w:ascii="宋体" w:hAnsi="宋体"/>
                <w:color w:val="000000" w:themeColor="text1"/>
              </w:rPr>
            </w:pPr>
            <w:r w:rsidRPr="00F65813">
              <w:rPr>
                <w:rFonts w:ascii="宋体" w:hAnsi="宋体"/>
                <w:color w:val="000000" w:themeColor="text1"/>
              </w:rPr>
              <w:t>2</w:t>
            </w:r>
          </w:p>
        </w:tc>
        <w:tc>
          <w:tcPr>
            <w:tcW w:w="1382"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spacing w:before="60" w:after="60"/>
              <w:jc w:val="center"/>
              <w:rPr>
                <w:rFonts w:ascii="宋体" w:hAnsi="宋体"/>
                <w:color w:val="000000" w:themeColor="text1"/>
              </w:rPr>
            </w:pPr>
            <w:r w:rsidRPr="00F65813">
              <w:rPr>
                <w:rFonts w:ascii="宋体" w:hAnsi="宋体"/>
                <w:color w:val="000000" w:themeColor="text1"/>
              </w:rPr>
              <w:t>5</w:t>
            </w:r>
          </w:p>
        </w:tc>
        <w:tc>
          <w:tcPr>
            <w:tcW w:w="1381"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spacing w:before="60" w:after="60"/>
              <w:jc w:val="center"/>
              <w:rPr>
                <w:rFonts w:ascii="宋体" w:hAnsi="宋体"/>
                <w:color w:val="000000" w:themeColor="text1"/>
              </w:rPr>
            </w:pPr>
            <w:r w:rsidRPr="00F65813">
              <w:rPr>
                <w:rFonts w:ascii="宋体" w:hAnsi="宋体"/>
                <w:color w:val="000000" w:themeColor="text1"/>
              </w:rPr>
              <w:t>10</w:t>
            </w:r>
          </w:p>
        </w:tc>
        <w:tc>
          <w:tcPr>
            <w:tcW w:w="1382"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spacing w:before="60" w:after="60"/>
              <w:jc w:val="center"/>
              <w:rPr>
                <w:rFonts w:ascii="宋体" w:hAnsi="宋体"/>
                <w:color w:val="000000" w:themeColor="text1"/>
              </w:rPr>
            </w:pPr>
            <w:r w:rsidRPr="00F65813">
              <w:rPr>
                <w:rFonts w:ascii="宋体" w:hAnsi="宋体"/>
                <w:color w:val="000000" w:themeColor="text1"/>
              </w:rPr>
              <w:t>25</w:t>
            </w:r>
          </w:p>
        </w:tc>
      </w:tr>
      <w:tr w:rsidR="00F65813">
        <w:trPr>
          <w:cantSplit/>
          <w:trHeight w:val="146"/>
          <w:jc w:val="center"/>
        </w:trPr>
        <w:tc>
          <w:tcPr>
            <w:tcW w:w="1254" w:type="dxa"/>
            <w:vMerge/>
            <w:tcBorders>
              <w:top w:val="single" w:sz="2" w:space="0" w:color="000000"/>
              <w:left w:val="single" w:sz="2" w:space="0" w:color="000000"/>
              <w:bottom w:val="single" w:sz="2" w:space="0" w:color="000000"/>
              <w:right w:val="single" w:sz="2" w:space="0" w:color="000000"/>
            </w:tcBorders>
            <w:shd w:val="clear" w:color="auto" w:fill="auto"/>
          </w:tcPr>
          <w:p w:rsidR="00F65813" w:rsidRPr="00F65813" w:rsidRDefault="00F65813">
            <w:pPr>
              <w:spacing w:before="60" w:after="60"/>
              <w:jc w:val="center"/>
              <w:rPr>
                <w:rFonts w:ascii="宋体" w:hAnsi="宋体"/>
                <w:color w:val="000000" w:themeColor="text1"/>
              </w:rPr>
            </w:pPr>
          </w:p>
        </w:tc>
        <w:tc>
          <w:tcPr>
            <w:tcW w:w="1511" w:type="dxa"/>
            <w:tcBorders>
              <w:top w:val="single" w:sz="2" w:space="0" w:color="000000"/>
              <w:left w:val="single" w:sz="2" w:space="0" w:color="000000"/>
              <w:bottom w:val="single" w:sz="2" w:space="0" w:color="000000"/>
              <w:right w:val="single" w:sz="4" w:space="0" w:color="000000"/>
            </w:tcBorders>
            <w:shd w:val="clear" w:color="auto" w:fill="auto"/>
            <w:tcMar>
              <w:top w:w="80" w:type="dxa"/>
              <w:left w:w="80" w:type="dxa"/>
              <w:bottom w:w="80" w:type="dxa"/>
              <w:right w:w="80" w:type="dxa"/>
            </w:tcMar>
          </w:tcPr>
          <w:p w:rsidR="00F65813" w:rsidRPr="00F65813" w:rsidRDefault="00F65813">
            <w:pPr>
              <w:pStyle w:val="TableStyle1"/>
              <w:widowControl w:val="0"/>
              <w:spacing w:before="60" w:after="60"/>
              <w:jc w:val="center"/>
              <w:rPr>
                <w:rFonts w:ascii="宋体" w:eastAsia="宋体" w:hAnsi="宋体" w:cs="Times New Roman"/>
                <w:b w:val="0"/>
                <w:bCs w:val="0"/>
                <w:color w:val="000000" w:themeColor="text1"/>
                <w:kern w:val="2"/>
                <w:sz w:val="21"/>
                <w:szCs w:val="21"/>
              </w:rPr>
            </w:pPr>
            <w:r w:rsidRPr="00F65813">
              <w:rPr>
                <w:rFonts w:ascii="宋体" w:eastAsia="宋体" w:hAnsi="宋体" w:cs="Times New Roman" w:hint="eastAsia"/>
                <w:b w:val="0"/>
                <w:bCs w:val="0"/>
                <w:color w:val="000000" w:themeColor="text1"/>
                <w:kern w:val="2"/>
                <w:sz w:val="21"/>
                <w:szCs w:val="21"/>
              </w:rPr>
              <w:t>熄灯</w:t>
            </w:r>
            <w:r w:rsidRPr="00F65813">
              <w:rPr>
                <w:rFonts w:ascii="宋体" w:eastAsia="宋体" w:hAnsi="宋体" w:cs="Times New Roman"/>
                <w:b w:val="0"/>
                <w:bCs w:val="0"/>
                <w:color w:val="000000" w:themeColor="text1"/>
                <w:kern w:val="2"/>
                <w:sz w:val="21"/>
                <w:szCs w:val="21"/>
              </w:rPr>
              <w:t>时段</w:t>
            </w:r>
          </w:p>
        </w:tc>
        <w:tc>
          <w:tcPr>
            <w:tcW w:w="1382" w:type="dxa"/>
            <w:tcBorders>
              <w:top w:val="single" w:sz="2" w:space="0" w:color="000000"/>
              <w:left w:val="single" w:sz="4"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pStyle w:val="TableStyle2"/>
              <w:widowControl w:val="0"/>
              <w:spacing w:before="60" w:after="60"/>
              <w:jc w:val="center"/>
              <w:rPr>
                <w:rFonts w:ascii="宋体" w:eastAsia="宋体" w:hAnsi="宋体" w:cs="Times New Roman"/>
                <w:color w:val="000000" w:themeColor="text1"/>
                <w:kern w:val="2"/>
                <w:sz w:val="21"/>
                <w:szCs w:val="21"/>
              </w:rPr>
            </w:pPr>
            <w:r w:rsidRPr="00F65813">
              <w:rPr>
                <w:rFonts w:ascii="宋体" w:eastAsia="宋体" w:hAnsi="宋体" w:cs="Times New Roman"/>
                <w:color w:val="000000" w:themeColor="text1"/>
                <w:kern w:val="2"/>
                <w:sz w:val="21"/>
                <w:szCs w:val="21"/>
              </w:rPr>
              <w:t>-</w:t>
            </w:r>
          </w:p>
        </w:tc>
        <w:tc>
          <w:tcPr>
            <w:tcW w:w="1380"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pStyle w:val="TableStyle2"/>
              <w:widowControl w:val="0"/>
              <w:spacing w:before="60" w:after="60"/>
              <w:jc w:val="center"/>
              <w:rPr>
                <w:rFonts w:ascii="宋体" w:eastAsia="宋体" w:hAnsi="宋体" w:cs="Times New Roman"/>
                <w:color w:val="000000" w:themeColor="text1"/>
                <w:kern w:val="2"/>
                <w:sz w:val="21"/>
                <w:szCs w:val="21"/>
              </w:rPr>
            </w:pPr>
            <w:r w:rsidRPr="00F65813">
              <w:rPr>
                <w:rFonts w:ascii="宋体" w:eastAsia="宋体" w:hAnsi="宋体" w:cs="Times New Roman"/>
                <w:color w:val="000000" w:themeColor="text1"/>
                <w:kern w:val="2"/>
                <w:sz w:val="21"/>
                <w:szCs w:val="21"/>
              </w:rPr>
              <w:t>&lt;0.1</w:t>
            </w:r>
          </w:p>
        </w:tc>
        <w:tc>
          <w:tcPr>
            <w:tcW w:w="1382"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pStyle w:val="TableStyle2"/>
              <w:widowControl w:val="0"/>
              <w:spacing w:before="60" w:after="60"/>
              <w:jc w:val="center"/>
              <w:rPr>
                <w:rFonts w:ascii="宋体" w:eastAsia="宋体" w:hAnsi="宋体" w:cs="Times New Roman"/>
                <w:color w:val="000000" w:themeColor="text1"/>
                <w:kern w:val="2"/>
                <w:sz w:val="21"/>
                <w:szCs w:val="21"/>
              </w:rPr>
            </w:pPr>
            <w:r w:rsidRPr="00F65813">
              <w:rPr>
                <w:rFonts w:ascii="宋体" w:eastAsia="宋体" w:hAnsi="宋体" w:cs="Times New Roman"/>
                <w:color w:val="000000" w:themeColor="text1"/>
                <w:kern w:val="2"/>
                <w:sz w:val="21"/>
                <w:szCs w:val="21"/>
              </w:rPr>
              <w:t>1</w:t>
            </w:r>
          </w:p>
        </w:tc>
        <w:tc>
          <w:tcPr>
            <w:tcW w:w="1381"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pStyle w:val="TableStyle2"/>
              <w:widowControl w:val="0"/>
              <w:spacing w:before="60" w:after="60"/>
              <w:jc w:val="center"/>
              <w:rPr>
                <w:rFonts w:ascii="宋体" w:eastAsia="宋体" w:hAnsi="宋体" w:cs="Times New Roman"/>
                <w:color w:val="000000" w:themeColor="text1"/>
                <w:kern w:val="2"/>
                <w:sz w:val="21"/>
                <w:szCs w:val="21"/>
              </w:rPr>
            </w:pPr>
            <w:r w:rsidRPr="00F65813">
              <w:rPr>
                <w:rFonts w:ascii="宋体" w:eastAsia="宋体" w:hAnsi="宋体" w:cs="Times New Roman"/>
                <w:color w:val="000000" w:themeColor="text1"/>
                <w:kern w:val="2"/>
                <w:sz w:val="21"/>
                <w:szCs w:val="21"/>
              </w:rPr>
              <w:t>2</w:t>
            </w:r>
          </w:p>
        </w:tc>
        <w:tc>
          <w:tcPr>
            <w:tcW w:w="1382"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vAlign w:val="center"/>
          </w:tcPr>
          <w:p w:rsidR="00F65813" w:rsidRPr="00F65813" w:rsidRDefault="00F65813">
            <w:pPr>
              <w:pStyle w:val="TableStyle2"/>
              <w:widowControl w:val="0"/>
              <w:spacing w:before="60" w:after="60"/>
              <w:jc w:val="center"/>
              <w:rPr>
                <w:rFonts w:ascii="宋体" w:eastAsia="宋体" w:hAnsi="宋体" w:cs="Times New Roman"/>
                <w:color w:val="000000" w:themeColor="text1"/>
                <w:kern w:val="2"/>
                <w:sz w:val="21"/>
                <w:szCs w:val="21"/>
              </w:rPr>
            </w:pPr>
            <w:r w:rsidRPr="00F65813">
              <w:rPr>
                <w:rFonts w:ascii="宋体" w:eastAsia="宋体" w:hAnsi="宋体" w:cs="Times New Roman"/>
                <w:color w:val="000000" w:themeColor="text1"/>
                <w:kern w:val="2"/>
                <w:sz w:val="21"/>
                <w:szCs w:val="21"/>
              </w:rPr>
              <w:t>5</w:t>
            </w:r>
          </w:p>
        </w:tc>
      </w:tr>
      <w:tr w:rsidR="00F65813">
        <w:trPr>
          <w:cantSplit/>
          <w:trHeight w:val="146"/>
          <w:jc w:val="center"/>
        </w:trPr>
        <w:tc>
          <w:tcPr>
            <w:tcW w:w="9672" w:type="dxa"/>
            <w:gridSpan w:val="7"/>
            <w:tcBorders>
              <w:top w:val="single" w:sz="2" w:space="0" w:color="000000"/>
              <w:left w:val="single" w:sz="2" w:space="0" w:color="000000"/>
              <w:bottom w:val="single" w:sz="2" w:space="0" w:color="000000"/>
              <w:right w:val="single" w:sz="2" w:space="0" w:color="000000"/>
            </w:tcBorders>
            <w:shd w:val="clear" w:color="auto" w:fill="auto"/>
          </w:tcPr>
          <w:p w:rsidR="00F65813" w:rsidRPr="00F65813" w:rsidRDefault="00F65813" w:rsidP="007D0FD6">
            <w:pPr>
              <w:spacing w:beforeLines="20" w:afterLines="20" w:line="360" w:lineRule="auto"/>
              <w:ind w:firstLineChars="200" w:firstLine="360"/>
              <w:rPr>
                <w:rFonts w:ascii="楷体" w:eastAsia="楷体" w:hAnsi="楷体"/>
                <w:color w:val="000000" w:themeColor="text1"/>
                <w:sz w:val="18"/>
                <w:szCs w:val="18"/>
              </w:rPr>
            </w:pPr>
            <w:r w:rsidRPr="00F65813">
              <w:rPr>
                <w:rFonts w:ascii="黑体" w:eastAsia="黑体" w:hAnsi="黑体" w:hint="eastAsia"/>
                <w:color w:val="000000" w:themeColor="text1"/>
                <w:sz w:val="18"/>
                <w:szCs w:val="18"/>
              </w:rPr>
              <w:t>注</w:t>
            </w:r>
            <w:r w:rsidRPr="00F65813">
              <w:rPr>
                <w:rFonts w:ascii="黑体" w:eastAsia="黑体" w:hAnsi="黑体"/>
                <w:color w:val="000000" w:themeColor="text1"/>
                <w:sz w:val="18"/>
                <w:szCs w:val="18"/>
              </w:rPr>
              <w:t>1：</w:t>
            </w:r>
            <w:r w:rsidRPr="00F65813">
              <w:rPr>
                <w:rFonts w:asciiTheme="minorEastAsia" w:eastAsiaTheme="minorEastAsia" w:hAnsiTheme="minorEastAsia"/>
                <w:color w:val="000000" w:themeColor="text1"/>
                <w:sz w:val="18"/>
                <w:szCs w:val="18"/>
              </w:rPr>
              <w:t>环境区域划分详见本规范附录A</w:t>
            </w:r>
          </w:p>
          <w:p w:rsidR="00F65813" w:rsidRPr="00F65813" w:rsidRDefault="00F65813">
            <w:pPr>
              <w:pStyle w:val="TableStyle2"/>
              <w:widowControl w:val="0"/>
              <w:spacing w:before="60" w:after="60"/>
              <w:ind w:firstLineChars="200" w:firstLine="360"/>
              <w:rPr>
                <w:rFonts w:ascii="宋体" w:eastAsia="宋体" w:hAnsi="宋体" w:cs="Times New Roman"/>
                <w:color w:val="000000" w:themeColor="text1"/>
                <w:kern w:val="2"/>
                <w:sz w:val="21"/>
                <w:szCs w:val="21"/>
              </w:rPr>
            </w:pPr>
            <w:r w:rsidRPr="00F65813">
              <w:rPr>
                <w:rFonts w:ascii="黑体" w:eastAsia="黑体" w:hAnsi="黑体" w:hint="eastAsia"/>
                <w:color w:val="000000" w:themeColor="text1"/>
                <w:sz w:val="18"/>
                <w:szCs w:val="18"/>
              </w:rPr>
              <w:t>注</w:t>
            </w:r>
            <w:r w:rsidRPr="00F65813">
              <w:rPr>
                <w:rFonts w:ascii="黑体" w:eastAsia="黑体" w:hAnsi="黑体"/>
                <w:color w:val="000000" w:themeColor="text1"/>
                <w:sz w:val="18"/>
                <w:szCs w:val="18"/>
              </w:rPr>
              <w:t>2</w:t>
            </w:r>
            <w:r w:rsidRPr="00F65813">
              <w:rPr>
                <w:rFonts w:ascii="黑体" w:eastAsia="黑体" w:hAnsi="黑体" w:hint="eastAsia"/>
                <w:color w:val="000000" w:themeColor="text1"/>
                <w:sz w:val="18"/>
                <w:szCs w:val="18"/>
              </w:rPr>
              <w:t>：</w:t>
            </w:r>
            <w:r w:rsidRPr="00F65813">
              <w:rPr>
                <w:rFonts w:asciiTheme="minorEastAsia" w:eastAsiaTheme="minorEastAsia" w:hAnsiTheme="minorEastAsia" w:hint="eastAsia"/>
                <w:color w:val="000000" w:themeColor="text1"/>
                <w:sz w:val="18"/>
                <w:szCs w:val="18"/>
              </w:rPr>
              <w:t>考虑对</w:t>
            </w:r>
            <w:r w:rsidRPr="00F65813">
              <w:rPr>
                <w:rFonts w:asciiTheme="minorEastAsia" w:eastAsiaTheme="minorEastAsia" w:hAnsiTheme="minorEastAsia"/>
                <w:color w:val="000000" w:themeColor="text1"/>
                <w:sz w:val="18"/>
                <w:szCs w:val="18"/>
              </w:rPr>
              <w:t>公共（</w:t>
            </w:r>
            <w:r w:rsidRPr="00F65813">
              <w:rPr>
                <w:rFonts w:asciiTheme="minorEastAsia" w:eastAsiaTheme="minorEastAsia" w:hAnsiTheme="minorEastAsia" w:hint="eastAsia"/>
                <w:color w:val="000000" w:themeColor="text1"/>
                <w:sz w:val="18"/>
                <w:szCs w:val="18"/>
              </w:rPr>
              <w:t>道路</w:t>
            </w:r>
            <w:r w:rsidRPr="00F65813">
              <w:rPr>
                <w:rFonts w:asciiTheme="minorEastAsia" w:eastAsiaTheme="minorEastAsia" w:hAnsiTheme="minorEastAsia"/>
                <w:color w:val="000000" w:themeColor="text1"/>
                <w:sz w:val="18"/>
                <w:szCs w:val="18"/>
              </w:rPr>
              <w:t>）</w:t>
            </w:r>
            <w:r w:rsidRPr="00F65813">
              <w:rPr>
                <w:rFonts w:asciiTheme="minorEastAsia" w:eastAsiaTheme="minorEastAsia" w:hAnsiTheme="minorEastAsia" w:hint="eastAsia"/>
                <w:color w:val="000000" w:themeColor="text1"/>
                <w:sz w:val="18"/>
                <w:szCs w:val="18"/>
              </w:rPr>
              <w:t>照明</w:t>
            </w:r>
            <w:r w:rsidRPr="00F65813">
              <w:rPr>
                <w:rFonts w:asciiTheme="minorEastAsia" w:eastAsiaTheme="minorEastAsia" w:hAnsiTheme="minorEastAsia"/>
                <w:color w:val="000000" w:themeColor="text1"/>
                <w:sz w:val="18"/>
                <w:szCs w:val="18"/>
              </w:rPr>
              <w:t>灯具会产生影响，E1</w:t>
            </w:r>
            <w:r w:rsidRPr="00F65813">
              <w:rPr>
                <w:rFonts w:asciiTheme="minorEastAsia" w:eastAsiaTheme="minorEastAsia" w:hAnsiTheme="minorEastAsia" w:hint="eastAsia"/>
                <w:color w:val="000000" w:themeColor="text1"/>
                <w:sz w:val="18"/>
                <w:szCs w:val="18"/>
              </w:rPr>
              <w:t>区</w:t>
            </w:r>
            <w:r w:rsidRPr="00F65813">
              <w:rPr>
                <w:rFonts w:asciiTheme="minorEastAsia" w:eastAsiaTheme="minorEastAsia" w:hAnsiTheme="minorEastAsia"/>
                <w:color w:val="000000" w:themeColor="text1"/>
                <w:sz w:val="18"/>
                <w:szCs w:val="18"/>
              </w:rPr>
              <w:t>熄灯时段的垂直照度</w:t>
            </w:r>
            <w:r w:rsidRPr="00F65813">
              <w:rPr>
                <w:rFonts w:asciiTheme="minorEastAsia" w:eastAsiaTheme="minorEastAsia" w:hAnsiTheme="minorEastAsia" w:hint="eastAsia"/>
                <w:color w:val="000000" w:themeColor="text1"/>
                <w:sz w:val="18"/>
                <w:szCs w:val="18"/>
              </w:rPr>
              <w:t>限</w:t>
            </w:r>
            <w:r w:rsidRPr="00F65813">
              <w:rPr>
                <w:rFonts w:asciiTheme="minorEastAsia" w:eastAsiaTheme="minorEastAsia" w:hAnsiTheme="minorEastAsia"/>
                <w:color w:val="000000" w:themeColor="text1"/>
                <w:sz w:val="18"/>
                <w:szCs w:val="18"/>
              </w:rPr>
              <w:t>值可</w:t>
            </w:r>
            <w:r w:rsidRPr="00F65813">
              <w:rPr>
                <w:rFonts w:asciiTheme="minorEastAsia" w:eastAsiaTheme="minorEastAsia" w:hAnsiTheme="minorEastAsia"/>
                <w:sz w:val="18"/>
                <w:szCs w:val="18"/>
              </w:rPr>
              <w:t>提高到1 lx</w:t>
            </w:r>
          </w:p>
        </w:tc>
      </w:tr>
    </w:tbl>
    <w:p w:rsidR="00F65813" w:rsidRDefault="00F65813">
      <w:pPr>
        <w:ind w:firstLineChars="200" w:firstLine="360"/>
        <w:rPr>
          <w:rFonts w:ascii="黑体" w:eastAsia="黑体" w:hAnsi="黑体"/>
          <w:color w:val="000000" w:themeColor="text1"/>
          <w:sz w:val="18"/>
          <w:szCs w:val="18"/>
          <w:u w:val="single"/>
        </w:rPr>
      </w:pPr>
    </w:p>
    <w:p w:rsidR="00F65813" w:rsidRDefault="00F65813">
      <w:pPr>
        <w:ind w:firstLineChars="200" w:firstLine="360"/>
        <w:rPr>
          <w:rFonts w:ascii="楷体" w:eastAsia="楷体" w:hAnsi="楷体"/>
          <w:sz w:val="18"/>
          <w:szCs w:val="18"/>
        </w:rPr>
      </w:pPr>
      <w:r w:rsidRPr="00F65813">
        <w:rPr>
          <w:rFonts w:ascii="黑体" w:eastAsia="黑体" w:hAnsi="黑体"/>
          <w:color w:val="000000" w:themeColor="text1"/>
          <w:sz w:val="18"/>
          <w:szCs w:val="18"/>
          <w:u w:val="single"/>
        </w:rPr>
        <w:t>[来源：GB 55013—2021</w:t>
      </w:r>
      <w:r w:rsidR="00EB0B4C">
        <w:rPr>
          <w:rFonts w:ascii="黑体" w:eastAsia="黑体" w:hAnsi="黑体" w:hint="eastAsia"/>
          <w:color w:val="000000" w:themeColor="text1"/>
          <w:sz w:val="18"/>
          <w:szCs w:val="18"/>
          <w:u w:val="single"/>
        </w:rPr>
        <w:t>，</w:t>
      </w:r>
      <w:r w:rsidR="00EB0B4C">
        <w:rPr>
          <w:rFonts w:ascii="黑体" w:eastAsia="黑体" w:hAnsi="黑体"/>
          <w:color w:val="000000" w:themeColor="text1"/>
          <w:sz w:val="18"/>
          <w:szCs w:val="18"/>
          <w:u w:val="single"/>
        </w:rPr>
        <w:t>7.0.2]</w:t>
      </w:r>
    </w:p>
    <w:p w:rsidR="00F65813" w:rsidRDefault="00EB0B4C">
      <w:pPr>
        <w:pStyle w:val="a3"/>
        <w:widowControl w:val="0"/>
        <w:numPr>
          <w:ilvl w:val="0"/>
          <w:numId w:val="0"/>
        </w:numPr>
        <w:spacing w:before="312" w:after="312"/>
        <w:rPr>
          <w:rFonts w:ascii="Times New Roman" w:cs="Times New Roman"/>
        </w:rPr>
      </w:pPr>
      <w:bookmarkStart w:id="149" w:name="_Toc71206562"/>
      <w:bookmarkStart w:id="150" w:name="_Toc48571193"/>
      <w:bookmarkStart w:id="151" w:name="_Toc39134236"/>
      <w:bookmarkStart w:id="152" w:name="_Toc306120274"/>
      <w:r>
        <w:rPr>
          <w:rFonts w:ascii="Times New Roman" w:cs="Times New Roman"/>
        </w:rPr>
        <w:t xml:space="preserve">5   </w:t>
      </w:r>
      <w:r>
        <w:rPr>
          <w:rFonts w:ascii="Times New Roman" w:cs="Times New Roman" w:hint="eastAsia"/>
        </w:rPr>
        <w:t>设计要求</w:t>
      </w:r>
      <w:bookmarkEnd w:id="149"/>
      <w:bookmarkEnd w:id="150"/>
      <w:bookmarkEnd w:id="151"/>
      <w:bookmarkEnd w:id="152"/>
    </w:p>
    <w:p w:rsidR="00F65813" w:rsidRDefault="00EB0B4C">
      <w:pPr>
        <w:pStyle w:val="a4"/>
        <w:numPr>
          <w:ilvl w:val="0"/>
          <w:numId w:val="0"/>
        </w:numPr>
        <w:spacing w:before="156" w:after="156"/>
        <w:rPr>
          <w:rFonts w:ascii="Times New Roman" w:cs="Times New Roman"/>
        </w:rPr>
      </w:pPr>
      <w:r>
        <w:rPr>
          <w:rFonts w:hAnsi="黑体"/>
        </w:rPr>
        <w:t xml:space="preserve">5.1 </w:t>
      </w:r>
      <w:r>
        <w:rPr>
          <w:rFonts w:ascii="Times New Roman" w:cs="Times New Roman" w:hint="eastAsia"/>
        </w:rPr>
        <w:t>一般要求</w:t>
      </w:r>
    </w:p>
    <w:p w:rsidR="00F65813" w:rsidRDefault="00EB0B4C">
      <w:pPr>
        <w:widowControl/>
        <w:spacing w:before="50" w:after="50"/>
        <w:jc w:val="left"/>
        <w:outlineLvl w:val="3"/>
        <w:rPr>
          <w:rFonts w:hAnsi="宋体" w:cs="黑体"/>
        </w:rPr>
      </w:pPr>
      <w:r>
        <w:rPr>
          <w:rFonts w:ascii="黑体" w:eastAsia="黑体" w:hAnsi="黑体"/>
        </w:rPr>
        <w:t xml:space="preserve">5.1.1 </w:t>
      </w:r>
      <w:bookmarkStart w:id="153" w:name="_Hlk88679478"/>
      <w:bookmarkStart w:id="154" w:name="_Hlk88679465"/>
      <w:bookmarkStart w:id="155" w:name="_Hlk88679433"/>
      <w:r w:rsidR="00F65813" w:rsidRPr="00F65813">
        <w:rPr>
          <w:rFonts w:ascii="宋体" w:hAnsi="宋体" w:cs="黑体" w:hint="eastAsia"/>
        </w:rPr>
        <w:t>景观照明宜与功能照明相结合，</w:t>
      </w:r>
      <w:r w:rsidR="00F65813" w:rsidRPr="00F65813">
        <w:rPr>
          <w:rFonts w:ascii="宋体" w:hAnsi="宋体" w:cs="黑体"/>
        </w:rPr>
        <w:t>同步设</w:t>
      </w:r>
      <w:bookmarkEnd w:id="153"/>
      <w:r w:rsidR="00F65813" w:rsidRPr="00F65813">
        <w:rPr>
          <w:rFonts w:ascii="宋体" w:hAnsi="宋体" w:cs="黑体"/>
        </w:rPr>
        <w:t>计</w:t>
      </w:r>
      <w:bookmarkEnd w:id="154"/>
      <w:r>
        <w:rPr>
          <w:rFonts w:ascii="宋体" w:hAnsi="宋体" w:cs="黑体" w:hint="eastAsia"/>
        </w:rPr>
        <w:t>。</w:t>
      </w:r>
      <w:bookmarkEnd w:id="155"/>
    </w:p>
    <w:p w:rsidR="00F65813" w:rsidRDefault="00EB0B4C">
      <w:pPr>
        <w:widowControl/>
        <w:spacing w:before="50" w:after="50"/>
        <w:jc w:val="left"/>
        <w:outlineLvl w:val="3"/>
        <w:rPr>
          <w:rFonts w:ascii="宋体" w:hAnsi="宋体" w:cs="黑体"/>
        </w:rPr>
      </w:pPr>
      <w:r>
        <w:rPr>
          <w:rFonts w:ascii="黑体" w:eastAsia="黑体" w:hAnsi="黑体"/>
        </w:rPr>
        <w:t xml:space="preserve">5.1.2 </w:t>
      </w:r>
      <w:r>
        <w:rPr>
          <w:rFonts w:ascii="宋体" w:hAnsi="宋体" w:cs="黑体" w:hint="eastAsia"/>
        </w:rPr>
        <w:t>景观照明不应对市政设施、机动车驾驶员、行人及周边环境、居住建筑产生干扰，对干扰光的限值应符合本规范</w:t>
      </w:r>
      <w:r>
        <w:rPr>
          <w:rFonts w:ascii="宋体" w:hAnsi="宋体" w:cs="黑体"/>
        </w:rPr>
        <w:t>4.4</w:t>
      </w:r>
      <w:r>
        <w:rPr>
          <w:rFonts w:ascii="宋体" w:hAnsi="宋体" w:cs="黑体" w:hint="eastAsia"/>
        </w:rPr>
        <w:t>的要求。</w:t>
      </w:r>
    </w:p>
    <w:p w:rsidR="00F65813" w:rsidRDefault="00EB0B4C">
      <w:pPr>
        <w:pStyle w:val="a4"/>
        <w:numPr>
          <w:ilvl w:val="0"/>
          <w:numId w:val="0"/>
        </w:numPr>
        <w:spacing w:before="156" w:after="156"/>
        <w:rPr>
          <w:rFonts w:ascii="Times New Roman" w:cs="Times New Roman"/>
        </w:rPr>
      </w:pPr>
      <w:bookmarkStart w:id="156" w:name="_Toc71206563"/>
      <w:bookmarkStart w:id="157" w:name="_Toc306120273"/>
      <w:r>
        <w:rPr>
          <w:rFonts w:hAnsi="黑体"/>
        </w:rPr>
        <w:t xml:space="preserve">5.2 </w:t>
      </w:r>
      <w:r>
        <w:rPr>
          <w:rFonts w:ascii="Times New Roman" w:cs="Times New Roman" w:hint="eastAsia"/>
        </w:rPr>
        <w:t>建筑</w:t>
      </w:r>
      <w:r>
        <w:rPr>
          <w:rFonts w:ascii="Times New Roman" w:cs="Times New Roman" w:hint="eastAsia"/>
        </w:rPr>
        <w:t>景观</w:t>
      </w:r>
      <w:r>
        <w:rPr>
          <w:rFonts w:ascii="Times New Roman" w:cs="Times New Roman" w:hint="eastAsia"/>
        </w:rPr>
        <w:t>照明</w:t>
      </w:r>
      <w:bookmarkEnd w:id="156"/>
    </w:p>
    <w:p w:rsidR="00F65813" w:rsidRDefault="00EB0B4C">
      <w:pPr>
        <w:widowControl/>
        <w:spacing w:after="0"/>
        <w:jc w:val="left"/>
        <w:outlineLvl w:val="3"/>
        <w:rPr>
          <w:rFonts w:ascii="宋体" w:hAnsi="宋体" w:cs="黑体"/>
        </w:rPr>
      </w:pPr>
      <w:r>
        <w:rPr>
          <w:rFonts w:ascii="黑体" w:eastAsia="黑体" w:hAnsi="黑体"/>
        </w:rPr>
        <w:t xml:space="preserve">5.2.1 </w:t>
      </w:r>
      <w:r>
        <w:rPr>
          <w:rFonts w:ascii="宋体" w:hAnsi="宋体" w:cs="黑体" w:hint="eastAsia"/>
        </w:rPr>
        <w:t>建筑外立面照明设计除应符合本规范第</w:t>
      </w:r>
      <w:r>
        <w:rPr>
          <w:rFonts w:ascii="宋体" w:hAnsi="宋体" w:cs="黑体"/>
        </w:rPr>
        <w:t>4.1</w:t>
      </w:r>
      <w:r>
        <w:rPr>
          <w:rFonts w:ascii="宋体" w:hAnsi="宋体" w:cs="黑体" w:hint="eastAsia"/>
        </w:rPr>
        <w:t>节规定外，尚应符合如下要求：</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a</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建筑外立面的照明设计应与其功能属性、所处区域地位、相邻建筑及周围环境相匹配协调，不应干扰其使用功能；</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rPr>
        <w:t xml:space="preserve">b)  </w:t>
      </w:r>
      <w:r>
        <w:rPr>
          <w:rFonts w:asciiTheme="minorEastAsia" w:eastAsiaTheme="minorEastAsia" w:hAnsiTheme="minorEastAsia" w:cs="Times New Roman" w:hint="eastAsia"/>
        </w:rPr>
        <w:t>应注重灯具等照明设施的隐蔽性，宜使照明设施的形状、尺度和颜色与环境相协调，做好安装与维护的综合考虑；</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c</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照明灯具应和建筑立面的墙、柱、檐、窗、墙角或屋顶部分的建筑构件相结合；</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d</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新建、改建、扩建的单体建筑外立面照明设计，应按照景观照明设置要求，与建筑方案同步设计，预留安装景观照明设施的空间；</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e</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学校（寄宿制、夜间教学）、医院、养老机构、居民楼、宾馆、旅店等建筑的外立面照明不应影响其使用功能，不应影响居住者休息；</w:t>
      </w:r>
    </w:p>
    <w:p w:rsidR="00F65813" w:rsidRDefault="00EB0B4C">
      <w:pPr>
        <w:pStyle w:val="a4"/>
        <w:numPr>
          <w:ilvl w:val="0"/>
          <w:numId w:val="0"/>
        </w:numPr>
        <w:spacing w:beforeLines="0" w:afterLines="0"/>
        <w:ind w:left="420"/>
        <w:outlineLvl w:val="9"/>
        <w:rPr>
          <w:rFonts w:ascii="Times New Roman" w:cs="Times New Roman"/>
        </w:rPr>
      </w:pPr>
      <w:r>
        <w:rPr>
          <w:rFonts w:asciiTheme="minorEastAsia" w:eastAsiaTheme="minorEastAsia" w:hAnsiTheme="minorEastAsia" w:cs="Times New Roman"/>
        </w:rPr>
        <w:t xml:space="preserve">f)  </w:t>
      </w:r>
      <w:r>
        <w:rPr>
          <w:rFonts w:asciiTheme="minorEastAsia" w:eastAsiaTheme="minorEastAsia" w:hAnsiTheme="minorEastAsia" w:cs="Times New Roman" w:hint="eastAsia"/>
        </w:rPr>
        <w:t>建筑媒体立面照明要求：</w:t>
      </w:r>
    </w:p>
    <w:p w:rsidR="00F65813" w:rsidRDefault="00EB0B4C">
      <w:pPr>
        <w:pStyle w:val="aff5"/>
        <w:spacing w:after="0"/>
        <w:ind w:left="774"/>
        <w:rPr>
          <w:lang w:val="en-US"/>
        </w:rPr>
      </w:pPr>
      <w:r>
        <w:rPr>
          <w:rFonts w:hint="eastAsia"/>
          <w:lang w:val="en-US"/>
        </w:rPr>
        <w:t>·</w:t>
      </w:r>
      <w:bookmarkStart w:id="158" w:name="_Hlk88681183"/>
      <w:bookmarkStart w:id="159" w:name="_Hlk88681173"/>
      <w:r>
        <w:rPr>
          <w:rFonts w:hint="eastAsia"/>
          <w:lang w:val="en-US"/>
        </w:rPr>
        <w:t>一般</w:t>
      </w:r>
      <w:r w:rsidR="00F65813" w:rsidRPr="00F65813">
        <w:rPr>
          <w:rFonts w:hint="eastAsia"/>
          <w:lang w:val="en-US"/>
        </w:rPr>
        <w:t>不宜采用媒体立面照明方式，如需设置媒体立面照明应遵循相关规划及实施方</w:t>
      </w:r>
      <w:bookmarkEnd w:id="158"/>
      <w:r w:rsidR="00F65813" w:rsidRPr="00F65813">
        <w:rPr>
          <w:rFonts w:hint="eastAsia"/>
          <w:lang w:val="en-US"/>
        </w:rPr>
        <w:t>案</w:t>
      </w:r>
      <w:bookmarkEnd w:id="159"/>
      <w:r>
        <w:rPr>
          <w:rFonts w:hint="eastAsia"/>
          <w:lang w:val="en-US"/>
        </w:rPr>
        <w:t>；</w:t>
      </w:r>
    </w:p>
    <w:p w:rsidR="00F65813" w:rsidRDefault="00EB0B4C">
      <w:pPr>
        <w:pStyle w:val="aff5"/>
        <w:spacing w:after="0"/>
        <w:ind w:left="774"/>
        <w:rPr>
          <w:lang w:val="en-US"/>
        </w:rPr>
      </w:pPr>
      <w:r>
        <w:rPr>
          <w:rFonts w:hint="eastAsia"/>
          <w:lang w:val="en-US"/>
        </w:rPr>
        <w:t>·朝向居住建筑或生态空间的建筑立面，不宜采用媒体立面照明方式；</w:t>
      </w:r>
    </w:p>
    <w:p w:rsidR="00F65813" w:rsidRDefault="00EB0B4C">
      <w:pPr>
        <w:pStyle w:val="aff5"/>
        <w:spacing w:after="0"/>
        <w:ind w:left="774"/>
        <w:rPr>
          <w:lang w:val="en-US"/>
        </w:rPr>
      </w:pPr>
      <w:r>
        <w:rPr>
          <w:rFonts w:hint="eastAsia"/>
          <w:lang w:val="en-US"/>
        </w:rPr>
        <w:t>·多层建筑或高层（超高层）建筑裙房设置媒体立面照明时，应采用间接照明方式或灯具表面</w:t>
      </w:r>
      <w:r>
        <w:rPr>
          <w:rFonts w:hint="eastAsia"/>
          <w:lang w:val="en-US"/>
        </w:rPr>
        <w:lastRenderedPageBreak/>
        <w:t>哑光处理，且立面亮度指标应满足表</w:t>
      </w:r>
      <w:r>
        <w:rPr>
          <w:lang w:val="en-US"/>
        </w:rPr>
        <w:t>3</w:t>
      </w:r>
      <w:r>
        <w:rPr>
          <w:rFonts w:hint="eastAsia"/>
          <w:lang w:val="en-US"/>
        </w:rPr>
        <w:t>要求；</w:t>
      </w:r>
    </w:p>
    <w:p w:rsidR="00F65813" w:rsidRDefault="00EB0B4C">
      <w:pPr>
        <w:pStyle w:val="aff5"/>
        <w:spacing w:after="0"/>
        <w:ind w:left="774"/>
        <w:rPr>
          <w:lang w:val="en-US"/>
        </w:rPr>
      </w:pPr>
      <w:r>
        <w:rPr>
          <w:rFonts w:hint="eastAsia"/>
          <w:lang w:val="en-US"/>
        </w:rPr>
        <w:t>·</w:t>
      </w:r>
      <w:r w:rsidR="00F65813" w:rsidRPr="00F65813">
        <w:rPr>
          <w:rFonts w:hint="eastAsia"/>
          <w:lang w:val="en-US"/>
        </w:rPr>
        <w:t>设置媒体立面照明时，立面亮度指标应满足表</w:t>
      </w:r>
      <w:r w:rsidR="00F65813" w:rsidRPr="00F65813">
        <w:rPr>
          <w:lang w:val="en-US"/>
        </w:rPr>
        <w:t>3</w:t>
      </w:r>
      <w:r w:rsidR="00F65813" w:rsidRPr="00F65813">
        <w:rPr>
          <w:rFonts w:hint="eastAsia"/>
          <w:lang w:val="en-US"/>
        </w:rPr>
        <w:t>要求。</w:t>
      </w:r>
    </w:p>
    <w:p w:rsidR="00F65813" w:rsidRDefault="00EB0B4C">
      <w:pPr>
        <w:widowControl/>
        <w:spacing w:after="0"/>
        <w:jc w:val="left"/>
        <w:outlineLvl w:val="3"/>
        <w:rPr>
          <w:rFonts w:ascii="宋体" w:hAnsi="宋体" w:cs="黑体"/>
        </w:rPr>
      </w:pPr>
      <w:r>
        <w:rPr>
          <w:rFonts w:ascii="黑体" w:eastAsia="黑体" w:hAnsi="黑体"/>
        </w:rPr>
        <w:t xml:space="preserve">5.2.2 </w:t>
      </w:r>
      <w:r>
        <w:rPr>
          <w:rFonts w:ascii="宋体" w:hAnsi="宋体" w:cs="黑体" w:hint="eastAsia"/>
        </w:rPr>
        <w:t>建筑物表面亮度不宜超过表</w:t>
      </w:r>
      <w:r>
        <w:rPr>
          <w:rFonts w:ascii="宋体" w:hAnsi="宋体" w:cs="黑体"/>
        </w:rPr>
        <w:t>2</w:t>
      </w:r>
      <w:r>
        <w:rPr>
          <w:rFonts w:ascii="宋体" w:hAnsi="宋体" w:cs="黑体" w:hint="eastAsia"/>
        </w:rPr>
        <w:t>和表</w:t>
      </w:r>
      <w:r>
        <w:rPr>
          <w:rFonts w:ascii="宋体" w:hAnsi="宋体" w:cs="黑体"/>
        </w:rPr>
        <w:t>3</w:t>
      </w:r>
      <w:r>
        <w:rPr>
          <w:rFonts w:ascii="宋体" w:hAnsi="宋体" w:cs="黑体" w:hint="eastAsia"/>
        </w:rPr>
        <w:t>的规定。</w:t>
      </w:r>
    </w:p>
    <w:p w:rsidR="00F65813" w:rsidRDefault="00F65813">
      <w:pPr>
        <w:widowControl/>
        <w:spacing w:after="0"/>
        <w:jc w:val="left"/>
        <w:outlineLvl w:val="3"/>
      </w:pPr>
      <w:r w:rsidRPr="00F65813">
        <w:rPr>
          <w:rFonts w:ascii="黑体" w:eastAsia="黑体" w:hAnsi="黑体"/>
        </w:rPr>
        <w:t>5.2.3</w:t>
      </w:r>
      <w:r w:rsidR="00EB0B4C">
        <w:rPr>
          <w:rFonts w:hint="eastAsia"/>
        </w:rPr>
        <w:t xml:space="preserve">　商务办公楼照明，应以内透光照明为主，内透光与建筑泛光相结合的手法，并以统一的控制和场景切换来实现整体的夜景效果。建筑亮度应符合本标准有关亮度限值的规定，色彩与动态灯光设计应符合本标准的相关规定。</w:t>
      </w:r>
    </w:p>
    <w:p w:rsidR="00F65813" w:rsidRDefault="00EB0B4C">
      <w:pPr>
        <w:pStyle w:val="a4"/>
        <w:numPr>
          <w:ilvl w:val="0"/>
          <w:numId w:val="0"/>
        </w:numPr>
        <w:spacing w:before="156" w:after="156"/>
        <w:rPr>
          <w:rFonts w:ascii="Times New Roman" w:cs="Times New Roman"/>
        </w:rPr>
      </w:pPr>
      <w:bookmarkStart w:id="160" w:name="_Toc71206564"/>
      <w:r>
        <w:rPr>
          <w:rFonts w:hAnsi="黑体"/>
        </w:rPr>
        <w:t xml:space="preserve">5.3  </w:t>
      </w:r>
      <w:r>
        <w:rPr>
          <w:rFonts w:ascii="Times New Roman" w:cs="Times New Roman" w:hint="eastAsia"/>
        </w:rPr>
        <w:t>绿地及广场景观照明</w:t>
      </w:r>
      <w:bookmarkEnd w:id="160"/>
    </w:p>
    <w:p w:rsidR="00F65813" w:rsidRDefault="00EB0B4C">
      <w:pPr>
        <w:widowControl/>
        <w:spacing w:before="50" w:after="50"/>
        <w:jc w:val="left"/>
        <w:outlineLvl w:val="3"/>
        <w:rPr>
          <w:rFonts w:ascii="宋体" w:hAnsi="宋体" w:cs="黑体"/>
        </w:rPr>
      </w:pPr>
      <w:r>
        <w:rPr>
          <w:rFonts w:ascii="黑体" w:eastAsia="黑体" w:hAnsi="黑体"/>
        </w:rPr>
        <w:t xml:space="preserve">5.3.1 </w:t>
      </w:r>
      <w:r>
        <w:rPr>
          <w:rFonts w:ascii="宋体" w:hAnsi="宋体" w:cs="黑体" w:hint="eastAsia"/>
        </w:rPr>
        <w:t>乔木、灌木和花卉的照明应满足如下要求：</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a</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应选择适宜的照射方式和灯具安装位置，避免长时间的光照和灯具的安装对动、植物生长产生影响；</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b</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乔木照明灯具宜装在地上，位于树和观赏区之间，但应注意灯的隐蔽，并且避免产生眩光。当需要照亮一棵树的特定部分时，宜使用窄光束灯具</w:t>
      </w:r>
      <w:r>
        <w:rPr>
          <w:rFonts w:asciiTheme="minorEastAsia" w:eastAsiaTheme="minorEastAsia" w:hAnsiTheme="minorEastAsia" w:cs="Times New Roman" w:hint="eastAsia"/>
        </w:rPr>
        <w:t>；</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c</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花卉照明的光线宜由上而下；</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hint="eastAsia"/>
        </w:rPr>
        <w:t>d</w:t>
      </w:r>
      <w:r>
        <w:rPr>
          <w:rFonts w:asciiTheme="minorEastAsia" w:eastAsiaTheme="minorEastAsia" w:hAnsiTheme="minorEastAsia" w:cs="Times New Roman"/>
        </w:rPr>
        <w:t xml:space="preserve">)  </w:t>
      </w:r>
      <w:r w:rsidR="00F65813" w:rsidRPr="00F65813">
        <w:rPr>
          <w:rFonts w:asciiTheme="minorEastAsia" w:eastAsiaTheme="minorEastAsia" w:hAnsiTheme="minorEastAsia" w:hint="eastAsia"/>
        </w:rPr>
        <w:t>乔木和灌木的照明宜用白光，</w:t>
      </w:r>
      <w:r>
        <w:rPr>
          <w:rFonts w:asciiTheme="minorEastAsia" w:eastAsiaTheme="minorEastAsia" w:hAnsiTheme="minorEastAsia" w:hint="eastAsia"/>
        </w:rPr>
        <w:t>慎用彩色光。花卉宜用显色指数</w:t>
      </w:r>
      <w:r>
        <w:rPr>
          <w:rFonts w:asciiTheme="minorEastAsia" w:eastAsiaTheme="minorEastAsia" w:hAnsiTheme="minorEastAsia"/>
        </w:rPr>
        <w:t>Ra</w:t>
      </w:r>
      <w:r>
        <w:rPr>
          <w:rFonts w:asciiTheme="minorEastAsia" w:eastAsiaTheme="minorEastAsia" w:hAnsiTheme="minorEastAsia" w:hint="eastAsia"/>
        </w:rPr>
        <w:t>不小于</w:t>
      </w:r>
      <w:r>
        <w:rPr>
          <w:rFonts w:asciiTheme="minorEastAsia" w:eastAsiaTheme="minorEastAsia" w:hAnsiTheme="minorEastAsia"/>
        </w:rPr>
        <w:t>90</w:t>
      </w:r>
      <w:r>
        <w:rPr>
          <w:rFonts w:asciiTheme="minorEastAsia" w:eastAsiaTheme="minorEastAsia" w:hAnsiTheme="minorEastAsia" w:hint="eastAsia"/>
        </w:rPr>
        <w:t>的光源照明。</w:t>
      </w:r>
    </w:p>
    <w:p w:rsidR="00F65813" w:rsidRDefault="00EB0B4C">
      <w:pPr>
        <w:widowControl/>
        <w:spacing w:before="50" w:after="50"/>
        <w:jc w:val="left"/>
        <w:outlineLvl w:val="3"/>
        <w:rPr>
          <w:rFonts w:ascii="宋体" w:hAnsi="宋体" w:cs="黑体"/>
        </w:rPr>
      </w:pPr>
      <w:r>
        <w:rPr>
          <w:rFonts w:ascii="黑体" w:eastAsia="黑体" w:hAnsi="黑体"/>
        </w:rPr>
        <w:t xml:space="preserve">5.3.2 </w:t>
      </w:r>
      <w:r>
        <w:rPr>
          <w:rFonts w:ascii="宋体" w:hAnsi="宋体" w:cs="黑体" w:hint="eastAsia"/>
        </w:rPr>
        <w:t>绿地及广场景观照明在满足功能照明前提下，应满足如下要求：</w:t>
      </w:r>
    </w:p>
    <w:p w:rsidR="00F65813" w:rsidRDefault="00EB0B4C">
      <w:pPr>
        <w:pStyle w:val="a4"/>
        <w:numPr>
          <w:ilvl w:val="0"/>
          <w:numId w:val="0"/>
        </w:numPr>
        <w:spacing w:beforeLines="0" w:afterLines="0"/>
        <w:ind w:left="420"/>
        <w:outlineLvl w:val="9"/>
        <w:rPr>
          <w:rFonts w:ascii="宋体" w:eastAsia="宋体" w:hAnsi="宋体" w:cs="Times New Roman"/>
        </w:rPr>
      </w:pPr>
      <w:r>
        <w:rPr>
          <w:rFonts w:ascii="宋体" w:eastAsia="宋体" w:hAnsi="宋体" w:cs="Times New Roman" w:hint="eastAsia"/>
        </w:rPr>
        <w:t>a</w:t>
      </w:r>
      <w:r>
        <w:rPr>
          <w:rFonts w:asciiTheme="minorEastAsia" w:eastAsiaTheme="minorEastAsia" w:hAnsiTheme="minorEastAsia" w:cs="Times New Roman"/>
        </w:rPr>
        <w:t xml:space="preserve">)  </w:t>
      </w:r>
      <w:r>
        <w:rPr>
          <w:rFonts w:ascii="宋体" w:eastAsia="宋体" w:hAnsi="宋体" w:cs="Times New Roman" w:hint="eastAsia"/>
        </w:rPr>
        <w:t>绿地及广场的公共活动区，建筑物和特殊景观元素的照明应统一规划，相互协调；</w:t>
      </w:r>
    </w:p>
    <w:p w:rsidR="00F65813" w:rsidRDefault="00EB0B4C">
      <w:pPr>
        <w:pStyle w:val="a4"/>
        <w:numPr>
          <w:ilvl w:val="0"/>
          <w:numId w:val="0"/>
        </w:numPr>
        <w:spacing w:beforeLines="0" w:afterLines="0"/>
        <w:ind w:left="420"/>
        <w:outlineLvl w:val="9"/>
        <w:rPr>
          <w:rFonts w:ascii="宋体" w:eastAsia="宋体" w:hAnsi="宋体" w:cs="Times New Roman"/>
        </w:rPr>
      </w:pPr>
      <w:r>
        <w:rPr>
          <w:rFonts w:ascii="宋体" w:eastAsia="宋体" w:hAnsi="宋体" w:cs="Times New Roman" w:hint="eastAsia"/>
        </w:rPr>
        <w:t>b</w:t>
      </w:r>
      <w:r>
        <w:rPr>
          <w:rFonts w:asciiTheme="minorEastAsia" w:eastAsiaTheme="minorEastAsia" w:hAnsiTheme="minorEastAsia" w:cs="Times New Roman"/>
        </w:rPr>
        <w:t xml:space="preserve">)  </w:t>
      </w:r>
      <w:r>
        <w:rPr>
          <w:rFonts w:ascii="宋体" w:eastAsia="宋体" w:hAnsi="宋体" w:cs="Times New Roman" w:hint="eastAsia"/>
        </w:rPr>
        <w:t>广场照明应有构成视觉中心的亮点，视觉中心的亮度与周围环境亮度的对比度应符合</w:t>
      </w:r>
      <w:r>
        <w:rPr>
          <w:rFonts w:ascii="宋体" w:eastAsia="宋体" w:hAnsi="宋体" w:cs="Times New Roman"/>
        </w:rPr>
        <w:t>4.2.2</w:t>
      </w:r>
      <w:r>
        <w:rPr>
          <w:rFonts w:ascii="宋体" w:eastAsia="宋体" w:hAnsi="宋体" w:cs="Times New Roman" w:hint="eastAsia"/>
        </w:rPr>
        <w:t>要求；</w:t>
      </w:r>
    </w:p>
    <w:p w:rsidR="00F65813" w:rsidRDefault="00EB0B4C">
      <w:pPr>
        <w:pStyle w:val="a4"/>
        <w:numPr>
          <w:ilvl w:val="0"/>
          <w:numId w:val="0"/>
        </w:numPr>
        <w:spacing w:beforeLines="0" w:afterLines="0"/>
        <w:ind w:left="420"/>
        <w:outlineLvl w:val="9"/>
        <w:rPr>
          <w:rFonts w:ascii="宋体" w:eastAsia="宋体" w:hAnsi="宋体" w:cs="Times New Roman"/>
        </w:rPr>
      </w:pPr>
      <w:r>
        <w:rPr>
          <w:rFonts w:ascii="宋体" w:eastAsia="宋体" w:hAnsi="宋体" w:cs="Times New Roman"/>
        </w:rPr>
        <w:t>c</w:t>
      </w:r>
      <w:r>
        <w:rPr>
          <w:rFonts w:asciiTheme="minorEastAsia" w:eastAsiaTheme="minorEastAsia" w:hAnsiTheme="minorEastAsia" w:cs="Times New Roman"/>
        </w:rPr>
        <w:t xml:space="preserve">)  </w:t>
      </w:r>
      <w:r>
        <w:rPr>
          <w:rFonts w:ascii="宋体" w:eastAsia="宋体" w:hAnsi="宋体" w:cs="Times New Roman" w:hint="eastAsia"/>
        </w:rPr>
        <w:t>广场公共活动区可适当采用投影照明、动态照明营造轻松友好环境氛围；</w:t>
      </w:r>
    </w:p>
    <w:p w:rsidR="00F65813" w:rsidRDefault="00EB0B4C">
      <w:pPr>
        <w:pStyle w:val="a4"/>
        <w:numPr>
          <w:ilvl w:val="0"/>
          <w:numId w:val="0"/>
        </w:numPr>
        <w:spacing w:beforeLines="0" w:afterLines="0"/>
        <w:ind w:left="420"/>
        <w:outlineLvl w:val="9"/>
        <w:rPr>
          <w:rFonts w:ascii="宋体" w:eastAsia="宋体" w:hAnsi="宋体" w:cs="Times New Roman"/>
        </w:rPr>
      </w:pPr>
      <w:r>
        <w:rPr>
          <w:rFonts w:ascii="宋体" w:eastAsia="宋体" w:hAnsi="宋体" w:cs="Times New Roman" w:hint="eastAsia"/>
        </w:rPr>
        <w:t>d</w:t>
      </w:r>
      <w:r>
        <w:rPr>
          <w:rFonts w:asciiTheme="minorEastAsia" w:eastAsiaTheme="minorEastAsia" w:hAnsiTheme="minorEastAsia" w:cs="Times New Roman"/>
        </w:rPr>
        <w:t xml:space="preserve">)  </w:t>
      </w:r>
      <w:r>
        <w:rPr>
          <w:rFonts w:ascii="宋体" w:eastAsia="宋体" w:hAnsi="宋体" w:cs="Times New Roman" w:hint="eastAsia"/>
        </w:rPr>
        <w:t>景观照明灯具设置应避免在人的观赏角度上产生眩光和对环境产生光污染。</w:t>
      </w:r>
    </w:p>
    <w:p w:rsidR="00F65813" w:rsidRDefault="00EB0B4C">
      <w:pPr>
        <w:pStyle w:val="a4"/>
        <w:numPr>
          <w:ilvl w:val="0"/>
          <w:numId w:val="0"/>
        </w:numPr>
        <w:spacing w:before="156" w:after="156"/>
        <w:rPr>
          <w:rFonts w:ascii="Times New Roman" w:cs="Times New Roman"/>
        </w:rPr>
      </w:pPr>
      <w:bookmarkStart w:id="161" w:name="_Toc71206565"/>
      <w:r>
        <w:rPr>
          <w:rFonts w:hAnsi="黑体"/>
        </w:rPr>
        <w:t xml:space="preserve">5.4 </w:t>
      </w:r>
      <w:r>
        <w:rPr>
          <w:rFonts w:ascii="Times New Roman" w:cs="Times New Roman" w:hint="eastAsia"/>
        </w:rPr>
        <w:t>河堤及桥梁照明</w:t>
      </w:r>
      <w:bookmarkEnd w:id="161"/>
    </w:p>
    <w:p w:rsidR="00F65813" w:rsidRDefault="00EB0B4C">
      <w:pPr>
        <w:widowControl/>
        <w:spacing w:before="50" w:after="50"/>
        <w:jc w:val="left"/>
        <w:outlineLvl w:val="3"/>
        <w:rPr>
          <w:rFonts w:ascii="宋体" w:hAnsi="宋体" w:cs="黑体"/>
        </w:rPr>
      </w:pPr>
      <w:r>
        <w:rPr>
          <w:rFonts w:ascii="宋体" w:hAnsi="宋体" w:cs="黑体" w:hint="eastAsia"/>
        </w:rPr>
        <w:t xml:space="preserve">5.4.1 </w:t>
      </w:r>
      <w:r>
        <w:rPr>
          <w:rFonts w:ascii="宋体" w:hAnsi="宋体" w:cs="黑体" w:hint="eastAsia"/>
        </w:rPr>
        <w:t>桥梁景观照明应充分展现桥体结构及造型的艺术美感，并与周边景观环境相协调。</w:t>
      </w:r>
    </w:p>
    <w:p w:rsidR="00F65813" w:rsidRDefault="00EB0B4C">
      <w:pPr>
        <w:widowControl/>
        <w:spacing w:before="50" w:after="50"/>
        <w:jc w:val="left"/>
        <w:outlineLvl w:val="3"/>
        <w:rPr>
          <w:rFonts w:ascii="宋体" w:hAnsi="宋体" w:cs="黑体"/>
        </w:rPr>
      </w:pPr>
      <w:r>
        <w:rPr>
          <w:rFonts w:ascii="宋体" w:hAnsi="宋体" w:cs="黑体" w:hint="eastAsia"/>
        </w:rPr>
        <w:t xml:space="preserve">5.4.2 </w:t>
      </w:r>
      <w:r>
        <w:rPr>
          <w:rFonts w:ascii="宋体" w:hAnsi="宋体" w:cs="黑体" w:hint="eastAsia"/>
        </w:rPr>
        <w:t>河堤和桥梁上的景观照明设备的选择和安装及管线敷设不应影响破坏其白天景观。</w:t>
      </w:r>
    </w:p>
    <w:p w:rsidR="00F65813" w:rsidRDefault="00EB0B4C">
      <w:pPr>
        <w:widowControl/>
        <w:spacing w:before="50" w:after="50"/>
        <w:jc w:val="left"/>
        <w:outlineLvl w:val="3"/>
        <w:rPr>
          <w:rFonts w:ascii="宋体" w:hAnsi="宋体" w:cs="黑体"/>
        </w:rPr>
      </w:pPr>
      <w:r>
        <w:rPr>
          <w:rFonts w:ascii="宋体" w:hAnsi="宋体" w:cs="黑体" w:hint="eastAsia"/>
        </w:rPr>
        <w:t xml:space="preserve">5.4.3 </w:t>
      </w:r>
      <w:r>
        <w:rPr>
          <w:rFonts w:ascii="宋体" w:hAnsi="宋体" w:cs="黑体" w:hint="eastAsia"/>
        </w:rPr>
        <w:t>景观照明设备不应干扰通航标志标识的正常使用，并应具有相应的防护等级。有季节性或周期性水位变化的河流，河堤和桥梁上的景观照明设备应考虑水位变化的影响。</w:t>
      </w:r>
    </w:p>
    <w:p w:rsidR="00F65813" w:rsidRDefault="00EB0B4C">
      <w:pPr>
        <w:pStyle w:val="a4"/>
        <w:numPr>
          <w:ilvl w:val="0"/>
          <w:numId w:val="0"/>
        </w:numPr>
        <w:spacing w:before="156" w:after="156"/>
        <w:rPr>
          <w:rFonts w:ascii="Times New Roman" w:cs="Times New Roman"/>
        </w:rPr>
      </w:pPr>
      <w:bookmarkStart w:id="162" w:name="_Toc71206566"/>
      <w:r>
        <w:rPr>
          <w:rFonts w:hAnsi="黑体"/>
        </w:rPr>
        <w:t xml:space="preserve">5.5  </w:t>
      </w:r>
      <w:r w:rsidR="00F65813" w:rsidRPr="00F65813">
        <w:rPr>
          <w:rFonts w:ascii="Times New Roman" w:cs="Times New Roman" w:hint="eastAsia"/>
        </w:rPr>
        <w:t>灯光艺术装置</w:t>
      </w:r>
      <w:bookmarkEnd w:id="162"/>
    </w:p>
    <w:p w:rsidR="00F65813" w:rsidRDefault="00EB0B4C">
      <w:pPr>
        <w:widowControl/>
        <w:spacing w:before="50" w:after="50"/>
        <w:jc w:val="left"/>
        <w:outlineLvl w:val="3"/>
        <w:rPr>
          <w:rFonts w:ascii="宋体" w:hAnsi="宋体" w:cs="黑体"/>
        </w:rPr>
      </w:pPr>
      <w:r>
        <w:rPr>
          <w:rFonts w:ascii="黑体" w:eastAsia="黑体" w:hAnsi="黑体"/>
        </w:rPr>
        <w:t xml:space="preserve">5.5.1 </w:t>
      </w:r>
      <w:bookmarkStart w:id="163" w:name="_Hlk88681451"/>
      <w:r w:rsidR="00F65813" w:rsidRPr="00F65813">
        <w:rPr>
          <w:rFonts w:ascii="宋体" w:hAnsi="宋体" w:cs="黑体" w:hint="eastAsia"/>
        </w:rPr>
        <w:t>景观小品及雕塑等</w:t>
      </w:r>
      <w:r w:rsidR="00F65813" w:rsidRPr="00F65813">
        <w:rPr>
          <w:rFonts w:ascii="宋体" w:hAnsi="宋体" w:cs="黑体"/>
        </w:rPr>
        <w:t>灯光艺术装置的</w:t>
      </w:r>
      <w:r w:rsidR="00F65813" w:rsidRPr="00F65813">
        <w:rPr>
          <w:rFonts w:ascii="宋体" w:hAnsi="宋体" w:cs="黑体" w:hint="eastAsia"/>
        </w:rPr>
        <w:t>照明宜</w:t>
      </w:r>
      <w:bookmarkEnd w:id="163"/>
      <w:r>
        <w:rPr>
          <w:rFonts w:ascii="宋体" w:hAnsi="宋体" w:cs="黑体" w:hint="eastAsia"/>
        </w:rPr>
        <w:t>根据场地条件设置地埋灯具或投光灯具，其位置可在现场试验后决定，并应避免直接看见光源或产生眩光。有光泽或深色的表面宜用反衬轮廓的照明方式。</w:t>
      </w:r>
    </w:p>
    <w:p w:rsidR="00F65813" w:rsidRDefault="00EB0B4C">
      <w:pPr>
        <w:widowControl/>
        <w:spacing w:before="50" w:after="50"/>
        <w:jc w:val="left"/>
        <w:outlineLvl w:val="3"/>
        <w:rPr>
          <w:rFonts w:ascii="宋体" w:hAnsi="宋体" w:cs="黑体"/>
        </w:rPr>
      </w:pPr>
      <w:r>
        <w:rPr>
          <w:rFonts w:ascii="黑体" w:eastAsia="黑体" w:hAnsi="黑体"/>
        </w:rPr>
        <w:t xml:space="preserve">5.5.2 </w:t>
      </w:r>
      <w:r>
        <w:rPr>
          <w:rFonts w:ascii="宋体" w:hAnsi="宋体" w:cs="黑体" w:hint="eastAsia"/>
        </w:rPr>
        <w:t>自发光灯光艺术装置的色彩和亮度动态变化频率应设定在合理范围，避免产生不舒适眩光和眩晕。</w:t>
      </w:r>
    </w:p>
    <w:p w:rsidR="00F65813" w:rsidRDefault="00EB0B4C">
      <w:pPr>
        <w:widowControl/>
        <w:spacing w:before="50" w:after="50"/>
        <w:jc w:val="left"/>
        <w:outlineLvl w:val="3"/>
        <w:rPr>
          <w:rFonts w:ascii="宋体" w:hAnsi="宋体" w:cs="黑体"/>
        </w:rPr>
      </w:pPr>
      <w:r>
        <w:rPr>
          <w:rFonts w:ascii="黑体" w:eastAsia="黑体" w:hAnsi="黑体"/>
        </w:rPr>
        <w:t xml:space="preserve">5.5.3 </w:t>
      </w:r>
      <w:r w:rsidR="00F65813" w:rsidRPr="00F65813">
        <w:rPr>
          <w:rFonts w:ascii="宋体" w:hAnsi="宋体" w:cs="黑体" w:hint="eastAsia"/>
        </w:rPr>
        <w:t>灯光艺术装置的亮度与周围环境亮度的对比度应符合</w:t>
      </w:r>
      <w:r>
        <w:rPr>
          <w:rFonts w:ascii="宋体" w:hAnsi="宋体" w:cs="黑体"/>
        </w:rPr>
        <w:t>4.2.2</w:t>
      </w:r>
      <w:r>
        <w:rPr>
          <w:rFonts w:ascii="宋体" w:hAnsi="宋体" w:cs="黑体" w:hint="eastAsia"/>
        </w:rPr>
        <w:t>要求。</w:t>
      </w:r>
    </w:p>
    <w:p w:rsidR="00F65813" w:rsidRDefault="00EB0B4C">
      <w:pPr>
        <w:widowControl/>
        <w:spacing w:before="50" w:after="50"/>
        <w:jc w:val="left"/>
        <w:outlineLvl w:val="3"/>
        <w:rPr>
          <w:rFonts w:ascii="宋体" w:hAnsi="宋体"/>
        </w:rPr>
      </w:pPr>
      <w:r>
        <w:rPr>
          <w:rFonts w:ascii="黑体" w:eastAsia="黑体" w:hAnsi="黑体"/>
        </w:rPr>
        <w:t xml:space="preserve">5.5.4 </w:t>
      </w:r>
      <w:r w:rsidR="00F65813" w:rsidRPr="00F65813">
        <w:rPr>
          <w:rFonts w:ascii="宋体" w:hAnsi="宋体" w:cs="黑体" w:hint="eastAsia"/>
        </w:rPr>
        <w:t>灯光艺术装置在白天</w:t>
      </w:r>
      <w:r>
        <w:rPr>
          <w:rFonts w:ascii="宋体" w:hAnsi="宋体" w:cs="黑体" w:hint="eastAsia"/>
        </w:rPr>
        <w:t>和夜间的观看效果应与周围环境相协调。</w:t>
      </w:r>
    </w:p>
    <w:p w:rsidR="00F65813" w:rsidRDefault="00EB0B4C">
      <w:pPr>
        <w:pStyle w:val="a4"/>
        <w:numPr>
          <w:ilvl w:val="0"/>
          <w:numId w:val="0"/>
        </w:numPr>
        <w:spacing w:before="156" w:after="156"/>
        <w:rPr>
          <w:rFonts w:ascii="Times New Roman" w:cs="Times New Roman"/>
        </w:rPr>
      </w:pPr>
      <w:bookmarkStart w:id="164" w:name="_Toc71206567"/>
      <w:r>
        <w:rPr>
          <w:rFonts w:hAnsi="黑体"/>
        </w:rPr>
        <w:t xml:space="preserve">5.6  </w:t>
      </w:r>
      <w:r>
        <w:rPr>
          <w:rFonts w:ascii="Times New Roman" w:cs="Times New Roman" w:hint="eastAsia"/>
        </w:rPr>
        <w:t>道路景观照明</w:t>
      </w:r>
      <w:bookmarkEnd w:id="164"/>
    </w:p>
    <w:p w:rsidR="00F65813" w:rsidRDefault="00EB0B4C">
      <w:pPr>
        <w:widowControl/>
        <w:spacing w:before="50" w:after="50"/>
        <w:jc w:val="left"/>
        <w:outlineLvl w:val="3"/>
        <w:rPr>
          <w:rFonts w:ascii="宋体" w:hAnsi="宋体"/>
        </w:rPr>
      </w:pPr>
      <w:bookmarkStart w:id="165" w:name="_Toc52354305"/>
      <w:bookmarkStart w:id="166" w:name="_Toc52361144"/>
      <w:r>
        <w:rPr>
          <w:rFonts w:ascii="黑体" w:eastAsia="黑体" w:hAnsi="黑体"/>
        </w:rPr>
        <w:t xml:space="preserve">5.6.1 </w:t>
      </w:r>
      <w:r>
        <w:rPr>
          <w:rFonts w:ascii="宋体" w:hAnsi="宋体" w:cs="黑体" w:hint="eastAsia"/>
        </w:rPr>
        <w:t>城市道路景观照明应从使用者的角度出发，在不影响道路功能照明基础上，营造符合安全需要、心理需要和</w:t>
      </w:r>
      <w:r>
        <w:rPr>
          <w:rFonts w:ascii="宋体" w:hAnsi="宋体" w:cs="黑体" w:hint="eastAsia"/>
        </w:rPr>
        <w:t>美学需要的道路夜间环境。</w:t>
      </w:r>
    </w:p>
    <w:p w:rsidR="00F65813" w:rsidRPr="00F65813" w:rsidRDefault="00EB0B4C">
      <w:pPr>
        <w:widowControl/>
        <w:spacing w:before="50" w:after="50"/>
        <w:jc w:val="left"/>
        <w:outlineLvl w:val="3"/>
        <w:rPr>
          <w:rFonts w:ascii="宋体" w:hAnsi="宋体"/>
          <w:color w:val="000000" w:themeColor="text1"/>
        </w:rPr>
      </w:pPr>
      <w:bookmarkStart w:id="167" w:name="_Toc57036617"/>
      <w:bookmarkStart w:id="168" w:name="_Toc56416249"/>
      <w:r>
        <w:rPr>
          <w:rFonts w:ascii="黑体" w:eastAsia="黑体" w:hAnsi="黑体"/>
        </w:rPr>
        <w:lastRenderedPageBreak/>
        <w:t xml:space="preserve">5.6.2 </w:t>
      </w:r>
      <w:r>
        <w:rPr>
          <w:rFonts w:ascii="宋体" w:hAnsi="宋体" w:cs="黑体" w:hint="eastAsia"/>
        </w:rPr>
        <w:t>道路景观照明的设置应把握道路尺度、周边建筑高度、景观物的尺度、周边环境需求等，其高度、位置、光色不应影响交通安全，不应破坏道路诱导性，充分考虑行车速度和视看角度的基础上，设置合理的照明节奏，使道路夜</w:t>
      </w:r>
      <w:r w:rsidR="00F65813" w:rsidRPr="00F65813">
        <w:rPr>
          <w:rFonts w:ascii="宋体" w:hAnsi="宋体" w:cs="黑体" w:hint="eastAsia"/>
          <w:color w:val="000000" w:themeColor="text1"/>
        </w:rPr>
        <w:t>间感觉简洁、明快、流畅、美观。</w:t>
      </w:r>
      <w:bookmarkEnd w:id="167"/>
      <w:bookmarkEnd w:id="168"/>
    </w:p>
    <w:p w:rsidR="00F65813" w:rsidRDefault="00F65813">
      <w:pPr>
        <w:widowControl/>
        <w:spacing w:before="50" w:after="50"/>
        <w:jc w:val="left"/>
        <w:outlineLvl w:val="3"/>
        <w:rPr>
          <w:rFonts w:ascii="宋体" w:hAnsi="宋体"/>
        </w:rPr>
      </w:pPr>
      <w:bookmarkStart w:id="169" w:name="_Toc57036619"/>
      <w:bookmarkStart w:id="170" w:name="_Toc56416251"/>
      <w:bookmarkEnd w:id="165"/>
      <w:bookmarkEnd w:id="166"/>
      <w:r w:rsidRPr="00F65813">
        <w:rPr>
          <w:rFonts w:ascii="黑体" w:eastAsia="黑体" w:hAnsi="黑体"/>
          <w:color w:val="000000" w:themeColor="text1"/>
        </w:rPr>
        <w:t xml:space="preserve">5.6.3 </w:t>
      </w:r>
      <w:r w:rsidRPr="00F65813">
        <w:rPr>
          <w:rFonts w:ascii="宋体" w:hAnsi="宋体" w:cs="黑体" w:hint="eastAsia"/>
          <w:color w:val="000000" w:themeColor="text1"/>
        </w:rPr>
        <w:t>隧道内可适当设置有</w:t>
      </w:r>
      <w:bookmarkStart w:id="171" w:name="_Hlk88681550"/>
      <w:r w:rsidRPr="00F65813">
        <w:rPr>
          <w:rFonts w:ascii="宋体" w:hAnsi="宋体" w:cs="黑体" w:hint="eastAsia"/>
          <w:color w:val="FF0000"/>
        </w:rPr>
        <w:t>舒缓</w:t>
      </w:r>
      <w:bookmarkEnd w:id="171"/>
      <w:r w:rsidRPr="00F65813">
        <w:rPr>
          <w:rFonts w:ascii="宋体" w:hAnsi="宋体" w:cs="黑体" w:hint="eastAsia"/>
          <w:color w:val="000000" w:themeColor="text1"/>
        </w:rPr>
        <w:t>节奏的景</w:t>
      </w:r>
      <w:r w:rsidR="00EB0B4C">
        <w:rPr>
          <w:rFonts w:ascii="宋体" w:hAnsi="宋体" w:cs="黑体" w:hint="eastAsia"/>
        </w:rPr>
        <w:t>观照明，缓解驾驶员通过较长隧道的视觉疲劳。在隧道出入口处应避免过多的景观照明。</w:t>
      </w:r>
      <w:bookmarkEnd w:id="169"/>
      <w:bookmarkEnd w:id="170"/>
    </w:p>
    <w:p w:rsidR="00F65813" w:rsidRDefault="00EB0B4C">
      <w:pPr>
        <w:widowControl/>
        <w:spacing w:before="50" w:after="50"/>
        <w:jc w:val="left"/>
        <w:outlineLvl w:val="3"/>
        <w:rPr>
          <w:rFonts w:ascii="宋体" w:hAnsi="宋体" w:cs="黑体"/>
        </w:rPr>
      </w:pPr>
      <w:bookmarkStart w:id="172" w:name="_Toc57036620"/>
      <w:r>
        <w:rPr>
          <w:rFonts w:ascii="黑体" w:eastAsia="黑体" w:hAnsi="黑体"/>
        </w:rPr>
        <w:t xml:space="preserve">5.6.4 </w:t>
      </w:r>
      <w:r>
        <w:rPr>
          <w:rFonts w:ascii="宋体" w:hAnsi="宋体" w:cs="黑体" w:hint="eastAsia"/>
        </w:rPr>
        <w:t>地下通道可适当设置景观照明，以营造宜人、无压抑感的舒适通行空间。</w:t>
      </w:r>
      <w:bookmarkEnd w:id="172"/>
    </w:p>
    <w:p w:rsidR="00F65813" w:rsidRPr="00F65813" w:rsidRDefault="00F65813">
      <w:pPr>
        <w:pStyle w:val="a4"/>
        <w:numPr>
          <w:ilvl w:val="0"/>
          <w:numId w:val="0"/>
        </w:numPr>
        <w:spacing w:before="156" w:after="156"/>
        <w:rPr>
          <w:rFonts w:ascii="Times New Roman" w:cs="Times New Roman"/>
        </w:rPr>
      </w:pPr>
      <w:bookmarkStart w:id="173" w:name="_Toc71206568"/>
      <w:bookmarkStart w:id="174" w:name="_Hlk88681577"/>
      <w:r w:rsidRPr="00F65813">
        <w:rPr>
          <w:rFonts w:hAnsi="黑体"/>
        </w:rPr>
        <w:t xml:space="preserve">5.7  </w:t>
      </w:r>
      <w:bookmarkStart w:id="175" w:name="_Hlk88681606"/>
      <w:bookmarkStart w:id="176" w:name="_Hlk88681586"/>
      <w:r w:rsidRPr="00F65813">
        <w:rPr>
          <w:rFonts w:hAnsi="黑体" w:hint="eastAsia"/>
        </w:rPr>
        <w:t>临时节庆</w:t>
      </w:r>
      <w:r w:rsidRPr="00F65813">
        <w:rPr>
          <w:rFonts w:hAnsi="黑体"/>
        </w:rPr>
        <w:t>灯</w:t>
      </w:r>
      <w:bookmarkEnd w:id="175"/>
      <w:r w:rsidRPr="00F65813">
        <w:rPr>
          <w:rFonts w:hAnsi="黑体"/>
        </w:rPr>
        <w:t>饰</w:t>
      </w:r>
      <w:bookmarkEnd w:id="173"/>
      <w:bookmarkEnd w:id="176"/>
    </w:p>
    <w:p w:rsidR="00F65813" w:rsidRPr="00F65813" w:rsidRDefault="00F65813">
      <w:pPr>
        <w:widowControl/>
        <w:spacing w:before="50" w:after="50"/>
        <w:jc w:val="left"/>
        <w:outlineLvl w:val="3"/>
        <w:rPr>
          <w:rFonts w:ascii="宋体" w:hAnsi="宋体" w:cs="黑体"/>
        </w:rPr>
      </w:pPr>
      <w:r w:rsidRPr="00F65813">
        <w:rPr>
          <w:rFonts w:ascii="黑体" w:eastAsia="黑体" w:hAnsi="黑体"/>
        </w:rPr>
        <w:t xml:space="preserve">5.7.1 </w:t>
      </w:r>
      <w:bookmarkStart w:id="177" w:name="_Hlk88681632"/>
      <w:r w:rsidRPr="00F65813">
        <w:rPr>
          <w:rFonts w:ascii="宋体" w:hAnsi="宋体" w:cs="黑体" w:hint="eastAsia"/>
        </w:rPr>
        <w:t>因文旅、商业等活动需要临时设置临时节庆灯饰的，宜在本单位建筑用地范围内设置。确需利用城市道路、绿化等设置的，还应符合相关管理规</w:t>
      </w:r>
      <w:bookmarkEnd w:id="177"/>
      <w:r w:rsidRPr="00F65813">
        <w:rPr>
          <w:rFonts w:ascii="宋体" w:hAnsi="宋体" w:cs="黑体" w:hint="eastAsia"/>
        </w:rPr>
        <w:t>定。</w:t>
      </w:r>
    </w:p>
    <w:p w:rsidR="00F65813" w:rsidRPr="00F65813" w:rsidRDefault="00F65813">
      <w:pPr>
        <w:widowControl/>
        <w:spacing w:before="50" w:after="50"/>
        <w:jc w:val="left"/>
        <w:outlineLvl w:val="3"/>
        <w:rPr>
          <w:rFonts w:ascii="宋体" w:hAnsi="宋体"/>
        </w:rPr>
      </w:pPr>
      <w:r w:rsidRPr="00F65813">
        <w:rPr>
          <w:rFonts w:ascii="黑体" w:eastAsia="黑体" w:hAnsi="黑体"/>
        </w:rPr>
        <w:t>5.7.2</w:t>
      </w:r>
      <w:bookmarkStart w:id="178" w:name="_Hlk88681652"/>
      <w:r w:rsidRPr="00F65813">
        <w:rPr>
          <w:rFonts w:ascii="宋体" w:hAnsi="宋体" w:cs="黑体" w:hint="eastAsia"/>
        </w:rPr>
        <w:t>应避免对居民生活和交通安全造成影响</w:t>
      </w:r>
      <w:bookmarkEnd w:id="178"/>
      <w:r w:rsidRPr="00F65813">
        <w:rPr>
          <w:rFonts w:ascii="宋体" w:hAnsi="宋体" w:cs="黑体" w:hint="eastAsia"/>
        </w:rPr>
        <w:t>。</w:t>
      </w:r>
    </w:p>
    <w:p w:rsidR="00F65813" w:rsidRPr="00F65813" w:rsidRDefault="00F65813">
      <w:pPr>
        <w:widowControl/>
        <w:spacing w:before="50" w:after="50"/>
        <w:jc w:val="left"/>
        <w:outlineLvl w:val="3"/>
        <w:rPr>
          <w:rFonts w:ascii="宋体" w:hAnsi="宋体"/>
        </w:rPr>
      </w:pPr>
      <w:r w:rsidRPr="00F65813">
        <w:rPr>
          <w:rFonts w:ascii="黑体" w:eastAsia="黑体" w:hAnsi="黑体"/>
        </w:rPr>
        <w:t>5.7.3</w:t>
      </w:r>
      <w:bookmarkStart w:id="179" w:name="_Hlk88681665"/>
      <w:r w:rsidRPr="00F65813">
        <w:rPr>
          <w:rFonts w:ascii="宋体" w:hAnsi="宋体" w:cs="黑体" w:hint="eastAsia"/>
        </w:rPr>
        <w:t>应考虑再循环利用，避免浪费和造成环境污染</w:t>
      </w:r>
      <w:bookmarkEnd w:id="179"/>
      <w:r w:rsidRPr="00F65813">
        <w:rPr>
          <w:rFonts w:ascii="宋体" w:hAnsi="宋体" w:cs="黑体" w:hint="eastAsia"/>
        </w:rPr>
        <w:t>。</w:t>
      </w:r>
    </w:p>
    <w:p w:rsidR="00F65813" w:rsidRPr="00F65813" w:rsidRDefault="00F65813">
      <w:pPr>
        <w:widowControl/>
        <w:spacing w:before="50" w:after="50"/>
        <w:jc w:val="left"/>
        <w:outlineLvl w:val="3"/>
        <w:rPr>
          <w:rFonts w:ascii="宋体" w:hAnsi="宋体"/>
        </w:rPr>
      </w:pPr>
      <w:r w:rsidRPr="00F65813">
        <w:rPr>
          <w:rFonts w:ascii="黑体" w:eastAsia="黑体" w:hAnsi="黑体"/>
        </w:rPr>
        <w:t>5.7.4</w:t>
      </w:r>
      <w:bookmarkStart w:id="180" w:name="_Hlk88681684"/>
      <w:r w:rsidRPr="00F65813">
        <w:rPr>
          <w:rFonts w:ascii="宋体" w:hAnsi="宋体" w:cs="黑体" w:hint="eastAsia"/>
        </w:rPr>
        <w:t>连续设置时间不宜超过</w:t>
      </w:r>
      <w:r w:rsidRPr="00F65813">
        <w:rPr>
          <w:rFonts w:ascii="宋体" w:hAnsi="宋体" w:cs="黑体"/>
        </w:rPr>
        <w:t>6个月</w:t>
      </w:r>
      <w:bookmarkEnd w:id="180"/>
      <w:r w:rsidRPr="00F65813">
        <w:rPr>
          <w:rFonts w:ascii="宋体" w:hAnsi="宋体" w:cs="黑体"/>
        </w:rPr>
        <w:t>。</w:t>
      </w:r>
    </w:p>
    <w:p w:rsidR="00F65813" w:rsidRDefault="00EB0B4C">
      <w:pPr>
        <w:pStyle w:val="a3"/>
        <w:widowControl w:val="0"/>
        <w:numPr>
          <w:ilvl w:val="0"/>
          <w:numId w:val="0"/>
        </w:numPr>
        <w:spacing w:before="312" w:after="312"/>
        <w:rPr>
          <w:rFonts w:ascii="Times New Roman" w:cs="Times New Roman"/>
        </w:rPr>
      </w:pPr>
      <w:bookmarkStart w:id="181" w:name="_Toc306119139"/>
      <w:bookmarkStart w:id="182" w:name="_Toc306118254"/>
      <w:bookmarkStart w:id="183" w:name="_Toc71206569"/>
      <w:bookmarkStart w:id="184" w:name="_Toc48571194"/>
      <w:bookmarkStart w:id="185" w:name="_Toc44610169"/>
      <w:bookmarkStart w:id="186" w:name="_Toc306120275"/>
      <w:bookmarkEnd w:id="157"/>
      <w:bookmarkEnd w:id="174"/>
      <w:r>
        <w:rPr>
          <w:rFonts w:ascii="Times New Roman" w:cs="Times New Roman"/>
        </w:rPr>
        <w:t xml:space="preserve">6   </w:t>
      </w:r>
      <w:r>
        <w:rPr>
          <w:rFonts w:ascii="Times New Roman" w:cs="Times New Roman" w:hint="eastAsia"/>
        </w:rPr>
        <w:t>照明设备</w:t>
      </w:r>
      <w:bookmarkStart w:id="187" w:name="_Toc306118255"/>
      <w:bookmarkStart w:id="188" w:name="_Toc306119140"/>
      <w:bookmarkEnd w:id="181"/>
      <w:bookmarkEnd w:id="182"/>
      <w:bookmarkEnd w:id="183"/>
      <w:bookmarkEnd w:id="184"/>
      <w:bookmarkEnd w:id="185"/>
      <w:bookmarkEnd w:id="186"/>
    </w:p>
    <w:p w:rsidR="00F65813" w:rsidRPr="00F65813" w:rsidRDefault="00EB0B4C">
      <w:pPr>
        <w:pStyle w:val="a4"/>
        <w:numPr>
          <w:ilvl w:val="0"/>
          <w:numId w:val="0"/>
        </w:numPr>
        <w:spacing w:before="156" w:after="156"/>
        <w:rPr>
          <w:rFonts w:ascii="Times New Roman" w:cs="Times New Roman"/>
          <w:color w:val="000000" w:themeColor="text1"/>
        </w:rPr>
      </w:pPr>
      <w:bookmarkStart w:id="189" w:name="_Toc71206570"/>
      <w:r>
        <w:rPr>
          <w:rFonts w:hAnsi="黑体"/>
        </w:rPr>
        <w:t xml:space="preserve">6.1 </w:t>
      </w:r>
      <w:r>
        <w:rPr>
          <w:rFonts w:ascii="Times New Roman" w:cs="Times New Roman" w:hint="eastAsia"/>
        </w:rPr>
        <w:t>一般要求</w:t>
      </w:r>
      <w:bookmarkEnd w:id="189"/>
    </w:p>
    <w:p w:rsidR="00F65813" w:rsidRPr="00F65813" w:rsidRDefault="00F65813">
      <w:pPr>
        <w:widowControl/>
        <w:spacing w:before="50" w:after="50"/>
        <w:jc w:val="left"/>
        <w:outlineLvl w:val="3"/>
        <w:rPr>
          <w:rFonts w:ascii="宋体" w:hAnsi="宋体" w:cs="黑体"/>
          <w:color w:val="000000" w:themeColor="text1"/>
        </w:rPr>
      </w:pPr>
      <w:r w:rsidRPr="00F65813">
        <w:rPr>
          <w:rFonts w:ascii="黑体" w:eastAsia="黑体" w:hAnsi="黑体"/>
          <w:color w:val="000000" w:themeColor="text1"/>
        </w:rPr>
        <w:t xml:space="preserve">6.1.1 </w:t>
      </w:r>
      <w:bookmarkStart w:id="190" w:name="_Hlk88681926"/>
      <w:r w:rsidRPr="00F65813">
        <w:rPr>
          <w:rFonts w:ascii="宋体" w:hAnsi="宋体" w:cs="黑体" w:hint="eastAsia"/>
          <w:color w:val="000000" w:themeColor="text1"/>
        </w:rPr>
        <w:t>设备应选用节能、环保的灯具产品。除经市政府批准的重大</w:t>
      </w:r>
      <w:r w:rsidRPr="00F65813">
        <w:rPr>
          <w:rFonts w:ascii="宋体" w:hAnsi="宋体" w:cs="黑体" w:hint="eastAsia"/>
          <w:color w:val="FF0000"/>
        </w:rPr>
        <w:t>节日</w:t>
      </w:r>
      <w:r w:rsidRPr="00F65813">
        <w:rPr>
          <w:rFonts w:ascii="宋体" w:hAnsi="宋体" w:cs="黑体"/>
          <w:color w:val="FF0000"/>
        </w:rPr>
        <w:t>或重大</w:t>
      </w:r>
      <w:r w:rsidRPr="00F65813">
        <w:rPr>
          <w:rFonts w:ascii="宋体" w:hAnsi="宋体" w:cs="黑体" w:hint="eastAsia"/>
          <w:color w:val="000000" w:themeColor="text1"/>
        </w:rPr>
        <w:t>活动外，不应使用高耗能的灯具</w:t>
      </w:r>
      <w:bookmarkEnd w:id="190"/>
      <w:r w:rsidRPr="00F65813">
        <w:rPr>
          <w:rFonts w:ascii="宋体" w:hAnsi="宋体" w:cs="黑体" w:hint="eastAsia"/>
          <w:color w:val="000000" w:themeColor="text1"/>
        </w:rPr>
        <w:t>。</w:t>
      </w:r>
    </w:p>
    <w:p w:rsidR="00F65813" w:rsidRDefault="00EB0B4C">
      <w:pPr>
        <w:widowControl/>
        <w:spacing w:before="50" w:after="50"/>
        <w:jc w:val="left"/>
        <w:outlineLvl w:val="3"/>
        <w:rPr>
          <w:rFonts w:ascii="宋体" w:hAnsi="宋体" w:cs="黑体"/>
        </w:rPr>
      </w:pPr>
      <w:r>
        <w:rPr>
          <w:rFonts w:ascii="黑体" w:eastAsia="黑体" w:hAnsi="黑体"/>
        </w:rPr>
        <w:t xml:space="preserve">6.1.2 </w:t>
      </w:r>
      <w:r>
        <w:rPr>
          <w:rFonts w:ascii="宋体" w:hAnsi="宋体" w:cs="黑体" w:hint="eastAsia"/>
        </w:rPr>
        <w:t>景观照明设备除应满足安全、光学和机械性能等方面的要求外，其外观造型、颜色宜与环境相协调。</w:t>
      </w:r>
    </w:p>
    <w:p w:rsidR="00F65813" w:rsidRDefault="00EB0B4C">
      <w:pPr>
        <w:widowControl/>
        <w:spacing w:before="50" w:after="50"/>
        <w:jc w:val="left"/>
        <w:outlineLvl w:val="3"/>
        <w:rPr>
          <w:rFonts w:ascii="宋体" w:hAnsi="宋体" w:cs="黑体"/>
        </w:rPr>
      </w:pPr>
      <w:r>
        <w:rPr>
          <w:rFonts w:ascii="黑体" w:eastAsia="黑体" w:hAnsi="黑体"/>
        </w:rPr>
        <w:t xml:space="preserve">6.1.3 </w:t>
      </w:r>
      <w:r>
        <w:rPr>
          <w:rFonts w:ascii="宋体" w:hAnsi="宋体" w:cs="黑体" w:hint="eastAsia"/>
        </w:rPr>
        <w:t>为了降低夜空亮度，景观照明灯具设备应将投射光线控制在被照区域范围内，上射光通比应符合表</w:t>
      </w:r>
      <w:r>
        <w:rPr>
          <w:rFonts w:ascii="宋体" w:hAnsi="宋体" w:cs="黑体"/>
        </w:rPr>
        <w:t>5</w:t>
      </w:r>
      <w:r>
        <w:rPr>
          <w:rFonts w:ascii="宋体" w:hAnsi="宋体" w:cs="黑体" w:hint="eastAsia"/>
        </w:rPr>
        <w:t>的规定。</w:t>
      </w:r>
    </w:p>
    <w:p w:rsidR="00F65813" w:rsidRDefault="00EB0B4C" w:rsidP="007D0FD6">
      <w:pPr>
        <w:keepNext/>
        <w:spacing w:beforeLines="50" w:afterLines="50"/>
        <w:jc w:val="center"/>
        <w:rPr>
          <w:rFonts w:ascii="黑体" w:eastAsia="黑体" w:hAnsi="黑体"/>
        </w:rPr>
      </w:pPr>
      <w:r>
        <w:rPr>
          <w:rFonts w:ascii="黑体" w:eastAsia="黑体" w:hAnsi="黑体"/>
        </w:rPr>
        <w:t>表</w:t>
      </w:r>
      <w:r>
        <w:rPr>
          <w:rFonts w:ascii="黑体" w:eastAsia="黑体" w:hAnsi="黑体"/>
        </w:rPr>
        <w:t xml:space="preserve">5  </w:t>
      </w:r>
      <w:r>
        <w:rPr>
          <w:rFonts w:ascii="黑体" w:eastAsia="黑体" w:hAnsi="黑体"/>
        </w:rPr>
        <w:t>照明灯具上射光通比最大</w:t>
      </w:r>
      <w:r>
        <w:rPr>
          <w:rFonts w:ascii="黑体" w:eastAsia="黑体" w:hAnsi="黑体" w:hint="eastAsia"/>
        </w:rPr>
        <w:t>限</w:t>
      </w:r>
      <w:r>
        <w:rPr>
          <w:rFonts w:ascii="黑体" w:eastAsia="黑体" w:hAnsi="黑体"/>
        </w:rPr>
        <w:t>值</w:t>
      </w:r>
    </w:p>
    <w:tbl>
      <w:tblPr>
        <w:tblW w:w="82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93"/>
        <w:gridCol w:w="1273"/>
        <w:gridCol w:w="1435"/>
        <w:gridCol w:w="1435"/>
        <w:gridCol w:w="1435"/>
      </w:tblGrid>
      <w:tr w:rsidR="00F65813">
        <w:trPr>
          <w:cantSplit/>
          <w:trHeight w:val="573"/>
          <w:jc w:val="center"/>
        </w:trPr>
        <w:tc>
          <w:tcPr>
            <w:tcW w:w="2693" w:type="dxa"/>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环境区域</w:t>
            </w:r>
          </w:p>
        </w:tc>
        <w:tc>
          <w:tcPr>
            <w:tcW w:w="1273" w:type="dxa"/>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E1</w:t>
            </w:r>
          </w:p>
        </w:tc>
        <w:tc>
          <w:tcPr>
            <w:tcW w:w="1435" w:type="dxa"/>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E2</w:t>
            </w:r>
          </w:p>
        </w:tc>
        <w:tc>
          <w:tcPr>
            <w:tcW w:w="1435" w:type="dxa"/>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E3</w:t>
            </w:r>
          </w:p>
        </w:tc>
        <w:tc>
          <w:tcPr>
            <w:tcW w:w="1435" w:type="dxa"/>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E4</w:t>
            </w:r>
          </w:p>
        </w:tc>
      </w:tr>
      <w:tr w:rsidR="00F65813">
        <w:trPr>
          <w:cantSplit/>
          <w:trHeight w:val="668"/>
          <w:jc w:val="center"/>
        </w:trPr>
        <w:tc>
          <w:tcPr>
            <w:tcW w:w="2693" w:type="dxa"/>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照明灯具上射光通比的最大值</w:t>
            </w:r>
          </w:p>
        </w:tc>
        <w:tc>
          <w:tcPr>
            <w:tcW w:w="1273" w:type="dxa"/>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1%</w:t>
            </w:r>
          </w:p>
        </w:tc>
        <w:tc>
          <w:tcPr>
            <w:tcW w:w="1435" w:type="dxa"/>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5%</w:t>
            </w:r>
          </w:p>
        </w:tc>
        <w:tc>
          <w:tcPr>
            <w:tcW w:w="1435" w:type="dxa"/>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10%</w:t>
            </w:r>
          </w:p>
        </w:tc>
        <w:tc>
          <w:tcPr>
            <w:tcW w:w="1435" w:type="dxa"/>
            <w:tcBorders>
              <w:top w:val="single" w:sz="4" w:space="0" w:color="auto"/>
              <w:left w:val="single" w:sz="4" w:space="0" w:color="auto"/>
              <w:bottom w:val="single" w:sz="4" w:space="0" w:color="auto"/>
              <w:right w:val="single" w:sz="4" w:space="0" w:color="auto"/>
            </w:tcBorders>
            <w:vAlign w:val="center"/>
          </w:tcPr>
          <w:p w:rsidR="00F65813" w:rsidRDefault="00EB0B4C">
            <w:pPr>
              <w:keepNext/>
              <w:spacing w:after="0"/>
              <w:jc w:val="center"/>
              <w:rPr>
                <w:rFonts w:ascii="宋体" w:hAnsi="宋体"/>
                <w:sz w:val="18"/>
                <w:szCs w:val="18"/>
              </w:rPr>
            </w:pPr>
            <w:r>
              <w:rPr>
                <w:rFonts w:ascii="宋体" w:hAnsi="宋体"/>
                <w:sz w:val="18"/>
                <w:szCs w:val="18"/>
              </w:rPr>
              <w:t>25%</w:t>
            </w:r>
          </w:p>
        </w:tc>
      </w:tr>
    </w:tbl>
    <w:p w:rsidR="00F65813" w:rsidRDefault="00F65813">
      <w:pPr>
        <w:spacing w:after="0"/>
        <w:jc w:val="center"/>
        <w:rPr>
          <w:sz w:val="18"/>
          <w:szCs w:val="18"/>
        </w:rPr>
      </w:pPr>
    </w:p>
    <w:p w:rsidR="00F65813" w:rsidRDefault="00EB0B4C">
      <w:pPr>
        <w:pStyle w:val="a4"/>
        <w:numPr>
          <w:ilvl w:val="0"/>
          <w:numId w:val="0"/>
        </w:numPr>
        <w:spacing w:before="156" w:after="156"/>
        <w:rPr>
          <w:rFonts w:ascii="Times New Roman" w:cs="Times New Roman"/>
        </w:rPr>
      </w:pPr>
      <w:bookmarkStart w:id="191" w:name="_Toc71206571"/>
      <w:r>
        <w:rPr>
          <w:rFonts w:hAnsi="黑体"/>
        </w:rPr>
        <w:t xml:space="preserve">6.2 </w:t>
      </w:r>
      <w:r>
        <w:rPr>
          <w:rFonts w:ascii="Times New Roman" w:cs="Times New Roman" w:hint="eastAsia"/>
        </w:rPr>
        <w:t>电气安全要求</w:t>
      </w:r>
      <w:bookmarkEnd w:id="191"/>
    </w:p>
    <w:p w:rsidR="00F65813" w:rsidRDefault="00EB0B4C">
      <w:pPr>
        <w:widowControl/>
        <w:spacing w:before="50" w:after="50"/>
        <w:jc w:val="left"/>
        <w:outlineLvl w:val="3"/>
        <w:rPr>
          <w:rFonts w:ascii="宋体" w:hAnsi="宋体" w:cs="黑体"/>
        </w:rPr>
      </w:pPr>
      <w:r>
        <w:rPr>
          <w:rFonts w:ascii="黑体" w:eastAsia="黑体" w:hAnsi="黑体"/>
        </w:rPr>
        <w:t xml:space="preserve">6.2.1 </w:t>
      </w:r>
      <w:r>
        <w:rPr>
          <w:rFonts w:ascii="宋体" w:hAnsi="宋体" w:cs="黑体" w:hint="eastAsia"/>
        </w:rPr>
        <w:t>灯具应符合</w:t>
      </w:r>
      <w:r>
        <w:rPr>
          <w:rFonts w:ascii="宋体" w:hAnsi="宋体" w:cs="黑体"/>
        </w:rPr>
        <w:t>GB 7000</w:t>
      </w:r>
      <w:r>
        <w:rPr>
          <w:rFonts w:ascii="宋体" w:hAnsi="宋体" w:cs="黑体" w:hint="eastAsia"/>
        </w:rPr>
        <w:t>系列标准的相应规定。控制装置应符合</w:t>
      </w:r>
      <w:r>
        <w:rPr>
          <w:rFonts w:ascii="宋体" w:hAnsi="宋体" w:cs="黑体"/>
        </w:rPr>
        <w:t>GB 19510</w:t>
      </w:r>
      <w:r>
        <w:rPr>
          <w:rFonts w:ascii="宋体" w:hAnsi="宋体" w:cs="黑体" w:hint="eastAsia"/>
        </w:rPr>
        <w:t>系列标准的相应规定。除符合上述相关标准要求外，还应符合下列规定：</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a</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投光灯具、庭院灯具和道路灯具宜采用Ⅰ类灯具。</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b</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控制柜应采用Ⅰ类防触电保护的产品。</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c</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安装在预期让人进入的喷水池和水池内的水下灯具应使用Ⅲ类的灯具，其外部和内部线路的工作电压应不超过</w:t>
      </w:r>
      <w:r>
        <w:rPr>
          <w:rFonts w:asciiTheme="minorEastAsia" w:eastAsiaTheme="minorEastAsia" w:hAnsiTheme="minorEastAsia" w:cs="Times New Roman"/>
        </w:rPr>
        <w:t>12 V AC</w:t>
      </w:r>
      <w:r>
        <w:rPr>
          <w:rFonts w:asciiTheme="minorEastAsia" w:eastAsiaTheme="minorEastAsia" w:hAnsiTheme="minorEastAsia" w:cs="Times New Roman" w:hint="eastAsia"/>
        </w:rPr>
        <w:t>或</w:t>
      </w:r>
      <w:r>
        <w:rPr>
          <w:rFonts w:asciiTheme="minorEastAsia" w:eastAsiaTheme="minorEastAsia" w:hAnsiTheme="minorEastAsia" w:cs="Times New Roman"/>
        </w:rPr>
        <w:t>30 V DC</w:t>
      </w:r>
      <w:r>
        <w:rPr>
          <w:rFonts w:asciiTheme="minorEastAsia" w:eastAsiaTheme="minorEastAsia" w:hAnsiTheme="minorEastAsia" w:cs="Times New Roman" w:hint="eastAsia"/>
        </w:rPr>
        <w:t>。</w:t>
      </w:r>
    </w:p>
    <w:p w:rsidR="00F65813" w:rsidRDefault="00EB0B4C">
      <w:pPr>
        <w:widowControl/>
        <w:spacing w:before="50" w:after="50"/>
        <w:jc w:val="left"/>
        <w:outlineLvl w:val="3"/>
        <w:rPr>
          <w:rFonts w:ascii="宋体" w:hAnsi="宋体" w:cs="黑体"/>
        </w:rPr>
      </w:pPr>
      <w:r>
        <w:rPr>
          <w:rFonts w:ascii="黑体" w:eastAsia="黑体" w:hAnsi="黑体"/>
        </w:rPr>
        <w:t xml:space="preserve">6.2.2 </w:t>
      </w:r>
      <w:r>
        <w:rPr>
          <w:rFonts w:ascii="宋体" w:hAnsi="宋体" w:cs="黑体" w:hint="eastAsia"/>
        </w:rPr>
        <w:t>电气设备应有防止内部积水及水汽的设计。安装在不同地方和位置上的电气设备应符合相应位置的外壳防护等级。</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lastRenderedPageBreak/>
        <w:t>a</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室外安装的灯具防护等级不应低于</w:t>
      </w:r>
      <w:r>
        <w:rPr>
          <w:rFonts w:asciiTheme="minorEastAsia" w:eastAsiaTheme="minorEastAsia" w:hAnsiTheme="minorEastAsia" w:cs="Times New Roman"/>
        </w:rPr>
        <w:t>IP55</w:t>
      </w:r>
      <w:r>
        <w:rPr>
          <w:rFonts w:asciiTheme="minorEastAsia" w:eastAsiaTheme="minorEastAsia" w:hAnsiTheme="minorEastAsia" w:cs="Times New Roman" w:hint="eastAsia"/>
        </w:rPr>
        <w:t>，其中在有遮挡的棚或檐下灯具防护等级不应低于</w:t>
      </w:r>
      <w:r>
        <w:rPr>
          <w:rFonts w:asciiTheme="minorEastAsia" w:eastAsiaTheme="minorEastAsia" w:hAnsiTheme="minorEastAsia" w:cs="Times New Roman"/>
        </w:rPr>
        <w:t>IP54</w:t>
      </w:r>
      <w:r>
        <w:rPr>
          <w:rFonts w:asciiTheme="minorEastAsia" w:eastAsiaTheme="minorEastAsia" w:hAnsiTheme="minorEastAsia" w:cs="Times New Roman" w:hint="eastAsia"/>
        </w:rPr>
        <w:t>，桥体安装的灯具应不低于</w:t>
      </w:r>
      <w:r>
        <w:rPr>
          <w:rFonts w:asciiTheme="minorEastAsia" w:eastAsiaTheme="minorEastAsia" w:hAnsiTheme="minorEastAsia" w:cs="Times New Roman"/>
        </w:rPr>
        <w:t>IP65</w:t>
      </w:r>
      <w:r>
        <w:rPr>
          <w:rFonts w:asciiTheme="minorEastAsia" w:eastAsiaTheme="minorEastAsia" w:hAnsiTheme="minorEastAsia" w:cs="Times New Roman" w:hint="eastAsia"/>
        </w:rPr>
        <w:t>，埋地灯具防护等级应同时符合</w:t>
      </w:r>
      <w:r>
        <w:rPr>
          <w:rFonts w:asciiTheme="minorEastAsia" w:eastAsiaTheme="minorEastAsia" w:hAnsiTheme="minorEastAsia" w:cs="Times New Roman"/>
        </w:rPr>
        <w:t>IP65</w:t>
      </w:r>
      <w:r>
        <w:rPr>
          <w:rFonts w:asciiTheme="minorEastAsia" w:eastAsiaTheme="minorEastAsia" w:hAnsiTheme="minorEastAsia" w:cs="Times New Roman" w:hint="eastAsia"/>
        </w:rPr>
        <w:t>和</w:t>
      </w:r>
      <w:r>
        <w:rPr>
          <w:rFonts w:asciiTheme="minorEastAsia" w:eastAsiaTheme="minorEastAsia" w:hAnsiTheme="minorEastAsia" w:cs="Times New Roman"/>
        </w:rPr>
        <w:t>IP67</w:t>
      </w:r>
      <w:r>
        <w:rPr>
          <w:rFonts w:asciiTheme="minorEastAsia" w:eastAsiaTheme="minorEastAsia" w:hAnsiTheme="minorEastAsia" w:cs="Times New Roman" w:hint="eastAsia"/>
        </w:rPr>
        <w:t>要求，水下灯具防护等级应为</w:t>
      </w:r>
      <w:r>
        <w:rPr>
          <w:rFonts w:asciiTheme="minorEastAsia" w:eastAsiaTheme="minorEastAsia" w:hAnsiTheme="minorEastAsia" w:cs="Times New Roman"/>
        </w:rPr>
        <w:t>IP68</w:t>
      </w:r>
      <w:r>
        <w:rPr>
          <w:rFonts w:asciiTheme="minorEastAsia" w:eastAsiaTheme="minorEastAsia" w:hAnsiTheme="minorEastAsia" w:cs="Times New Roman" w:hint="eastAsia"/>
        </w:rPr>
        <w:t>。</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b</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室外照明配电箱、控制箱等的防护等级不应低于</w:t>
      </w:r>
      <w:r>
        <w:rPr>
          <w:rFonts w:asciiTheme="minorEastAsia" w:eastAsiaTheme="minorEastAsia" w:hAnsiTheme="minorEastAsia" w:cs="Times New Roman"/>
        </w:rPr>
        <w:t>IP55</w:t>
      </w:r>
      <w:r>
        <w:rPr>
          <w:rFonts w:asciiTheme="minorEastAsia" w:eastAsiaTheme="minorEastAsia" w:hAnsiTheme="minorEastAsia" w:cs="Times New Roman" w:hint="eastAsia"/>
        </w:rPr>
        <w:t>。</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c</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电气设备使用的接插件应满足</w:t>
      </w:r>
      <w:r>
        <w:rPr>
          <w:rFonts w:asciiTheme="minorEastAsia" w:eastAsiaTheme="minorEastAsia" w:hAnsiTheme="minorEastAsia" w:cs="Times New Roman"/>
        </w:rPr>
        <w:t>IP65</w:t>
      </w:r>
      <w:r>
        <w:rPr>
          <w:rFonts w:asciiTheme="minorEastAsia" w:eastAsiaTheme="minorEastAsia" w:hAnsiTheme="minorEastAsia" w:cs="Times New Roman" w:hint="eastAsia"/>
        </w:rPr>
        <w:t>或</w:t>
      </w:r>
      <w:r>
        <w:rPr>
          <w:rFonts w:asciiTheme="minorEastAsia" w:eastAsiaTheme="minorEastAsia" w:hAnsiTheme="minorEastAsia" w:cs="Times New Roman"/>
        </w:rPr>
        <w:t>IP66</w:t>
      </w:r>
      <w:r>
        <w:rPr>
          <w:rFonts w:asciiTheme="minorEastAsia" w:eastAsiaTheme="minorEastAsia" w:hAnsiTheme="minorEastAsia" w:cs="Times New Roman" w:hint="eastAsia"/>
        </w:rPr>
        <w:t>的要求。</w:t>
      </w:r>
    </w:p>
    <w:p w:rsidR="00F65813" w:rsidRDefault="00EB0B4C">
      <w:pPr>
        <w:pStyle w:val="a4"/>
        <w:numPr>
          <w:ilvl w:val="0"/>
          <w:numId w:val="0"/>
        </w:numPr>
        <w:spacing w:before="156" w:after="156"/>
        <w:rPr>
          <w:rFonts w:ascii="Times New Roman" w:cs="Times New Roman"/>
        </w:rPr>
      </w:pPr>
      <w:bookmarkStart w:id="192" w:name="_Toc71206572"/>
      <w:r>
        <w:rPr>
          <w:rFonts w:hAnsi="黑体"/>
        </w:rPr>
        <w:t xml:space="preserve">6.3  </w:t>
      </w:r>
      <w:r>
        <w:rPr>
          <w:rFonts w:ascii="Times New Roman" w:cs="Times New Roman" w:hint="eastAsia"/>
        </w:rPr>
        <w:t>温度和耐热要求</w:t>
      </w:r>
      <w:bookmarkEnd w:id="192"/>
    </w:p>
    <w:p w:rsidR="00F65813" w:rsidRDefault="00EB0B4C">
      <w:pPr>
        <w:widowControl/>
        <w:spacing w:before="50" w:after="50"/>
        <w:jc w:val="left"/>
        <w:outlineLvl w:val="3"/>
        <w:rPr>
          <w:rFonts w:ascii="宋体" w:hAnsi="宋体" w:cs="黑体"/>
        </w:rPr>
      </w:pPr>
      <w:r>
        <w:rPr>
          <w:rFonts w:ascii="黑体" w:eastAsia="黑体" w:hAnsi="黑体"/>
        </w:rPr>
        <w:t xml:space="preserve">6.3.1 </w:t>
      </w:r>
      <w:r>
        <w:rPr>
          <w:rFonts w:ascii="宋体" w:hAnsi="宋体" w:cs="黑体" w:hint="eastAsia"/>
        </w:rPr>
        <w:t>灯具内的电器配件的耐热等级应满足使用环境的如下要求：</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a</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露天工作的一体化灯具内，电器腔中的电器配件的耐热等级应符合相应工作环境的要求，</w:t>
      </w:r>
      <w:r>
        <w:rPr>
          <w:rFonts w:asciiTheme="minorEastAsia" w:eastAsiaTheme="minorEastAsia" w:hAnsiTheme="minorEastAsia" w:cs="Times New Roman"/>
        </w:rPr>
        <w:t>HID</w:t>
      </w:r>
      <w:r>
        <w:rPr>
          <w:rFonts w:asciiTheme="minorEastAsia" w:eastAsiaTheme="minorEastAsia" w:hAnsiTheme="minorEastAsia" w:cs="Times New Roman" w:hint="eastAsia"/>
        </w:rPr>
        <w:t>灯具的镇流器上的</w:t>
      </w:r>
      <w:r>
        <w:rPr>
          <w:rFonts w:asciiTheme="minorEastAsia" w:eastAsiaTheme="minorEastAsia" w:hAnsiTheme="minorEastAsia" w:cs="Times New Roman"/>
        </w:rPr>
        <w:t>Tw</w:t>
      </w:r>
      <w:r>
        <w:rPr>
          <w:rFonts w:asciiTheme="minorEastAsia" w:eastAsiaTheme="minorEastAsia" w:hAnsiTheme="minorEastAsia" w:cs="Times New Roman" w:hint="eastAsia"/>
        </w:rPr>
        <w:t>≥</w:t>
      </w:r>
      <w:r>
        <w:rPr>
          <w:rFonts w:asciiTheme="minorEastAsia" w:eastAsiaTheme="minorEastAsia" w:hAnsiTheme="minorEastAsia" w:cs="Times New Roman"/>
        </w:rPr>
        <w:t xml:space="preserve">130 </w:t>
      </w:r>
      <w:r>
        <w:rPr>
          <w:rFonts w:asciiTheme="minorEastAsia" w:eastAsiaTheme="minorEastAsia" w:hAnsiTheme="minorEastAsia" w:cs="Times New Roman" w:hint="eastAsia"/>
        </w:rPr>
        <w:t>℃，不应使用无</w:t>
      </w:r>
      <w:r>
        <w:rPr>
          <w:rFonts w:asciiTheme="minorEastAsia" w:eastAsiaTheme="minorEastAsia" w:hAnsiTheme="minorEastAsia" w:cs="Times New Roman"/>
        </w:rPr>
        <w:t>Tw</w:t>
      </w:r>
      <w:r>
        <w:rPr>
          <w:rFonts w:asciiTheme="minorEastAsia" w:eastAsiaTheme="minorEastAsia" w:hAnsiTheme="minorEastAsia" w:cs="Times New Roman" w:hint="eastAsia"/>
        </w:rPr>
        <w:t>标志的产品。触发器和电容器亦应视电器箱内最高环境温度来确定</w:t>
      </w:r>
      <w:r>
        <w:rPr>
          <w:rFonts w:asciiTheme="minorEastAsia" w:eastAsiaTheme="minorEastAsia" w:hAnsiTheme="minorEastAsia" w:cs="Times New Roman"/>
        </w:rPr>
        <w:t>Tc</w:t>
      </w:r>
      <w:r>
        <w:rPr>
          <w:rFonts w:asciiTheme="minorEastAsia" w:eastAsiaTheme="minorEastAsia" w:hAnsiTheme="minorEastAsia" w:cs="Times New Roman" w:hint="eastAsia"/>
        </w:rPr>
        <w:t>的数值，一般应选择</w:t>
      </w:r>
      <w:r>
        <w:rPr>
          <w:rFonts w:asciiTheme="minorEastAsia" w:eastAsiaTheme="minorEastAsia" w:hAnsiTheme="minorEastAsia" w:cs="Times New Roman"/>
        </w:rPr>
        <w:t>Tc=85 ºC</w:t>
      </w:r>
      <w:r>
        <w:rPr>
          <w:rFonts w:asciiTheme="minorEastAsia" w:eastAsiaTheme="minorEastAsia" w:hAnsiTheme="minorEastAsia" w:cs="Times New Roman" w:hint="eastAsia"/>
        </w:rPr>
        <w:t>或以</w:t>
      </w:r>
      <w:r>
        <w:rPr>
          <w:rFonts w:asciiTheme="minorEastAsia" w:eastAsiaTheme="minorEastAsia" w:hAnsiTheme="minorEastAsia" w:cs="Times New Roman" w:hint="eastAsia"/>
        </w:rPr>
        <w:t>上的产品。</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b</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露天工作的非一体化灯具电器箱内的电器配件的耐热等级应符合相应工作环境的要求。</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rPr>
        <w:t xml:space="preserve">c)  </w:t>
      </w:r>
      <w:r>
        <w:rPr>
          <w:rFonts w:asciiTheme="minorEastAsia" w:eastAsiaTheme="minorEastAsia" w:hAnsiTheme="minorEastAsia" w:cs="Times New Roman" w:hint="eastAsia"/>
        </w:rPr>
        <w:t>地埋灯内的电器配件，应根据灯具外壳的材料、大小和安装环境的不同选用合适的耐热等级产品。</w:t>
      </w:r>
    </w:p>
    <w:p w:rsidR="00F65813" w:rsidRDefault="00EB0B4C">
      <w:pPr>
        <w:widowControl/>
        <w:spacing w:before="50" w:after="50"/>
        <w:jc w:val="left"/>
        <w:outlineLvl w:val="3"/>
        <w:rPr>
          <w:rFonts w:ascii="宋体" w:hAnsi="宋体" w:cs="黑体"/>
        </w:rPr>
      </w:pPr>
      <w:r>
        <w:rPr>
          <w:rFonts w:ascii="黑体" w:eastAsia="黑体" w:hAnsi="黑体"/>
        </w:rPr>
        <w:t xml:space="preserve">6.3.2 </w:t>
      </w:r>
      <w:r>
        <w:rPr>
          <w:rFonts w:ascii="宋体" w:hAnsi="宋体" w:cs="黑体" w:hint="eastAsia"/>
        </w:rPr>
        <w:t>使用塑料外壳的灯具，其外壳应能承受灯具在异常工作条件下产生的过热。同时应能承受户外环境对材质性能的不利影响，长时间使用后不能降低外壳的原有防护等级。</w:t>
      </w:r>
    </w:p>
    <w:p w:rsidR="00F65813" w:rsidRDefault="00EB0B4C">
      <w:pPr>
        <w:widowControl/>
        <w:spacing w:before="50" w:after="50"/>
        <w:jc w:val="left"/>
        <w:outlineLvl w:val="3"/>
        <w:rPr>
          <w:rFonts w:ascii="宋体" w:hAnsi="宋体" w:cs="黑体"/>
        </w:rPr>
      </w:pPr>
      <w:r>
        <w:rPr>
          <w:rFonts w:ascii="黑体" w:eastAsia="黑体" w:hAnsi="黑体"/>
        </w:rPr>
        <w:t xml:space="preserve">6.3.3 </w:t>
      </w:r>
      <w:r>
        <w:rPr>
          <w:rFonts w:ascii="宋体" w:hAnsi="宋体" w:cs="黑体" w:hint="eastAsia"/>
        </w:rPr>
        <w:t>具有散热孔的半户外型灯具应在散热孔处设金属防虫网。</w:t>
      </w:r>
    </w:p>
    <w:p w:rsidR="00F65813" w:rsidRDefault="00EB0B4C">
      <w:pPr>
        <w:pStyle w:val="a4"/>
        <w:numPr>
          <w:ilvl w:val="0"/>
          <w:numId w:val="0"/>
        </w:numPr>
        <w:spacing w:before="156" w:after="156"/>
        <w:rPr>
          <w:rFonts w:ascii="Times New Roman" w:cs="Times New Roman"/>
        </w:rPr>
      </w:pPr>
      <w:bookmarkStart w:id="193" w:name="_Toc71206573"/>
      <w:r>
        <w:rPr>
          <w:rFonts w:hAnsi="黑体"/>
        </w:rPr>
        <w:t xml:space="preserve">6.4 </w:t>
      </w:r>
      <w:r>
        <w:rPr>
          <w:rFonts w:ascii="Times New Roman" w:cs="Times New Roman" w:hint="eastAsia"/>
        </w:rPr>
        <w:t>对眼睛的防护要求</w:t>
      </w:r>
      <w:bookmarkEnd w:id="193"/>
    </w:p>
    <w:p w:rsidR="00F65813" w:rsidRDefault="00EB0B4C">
      <w:pPr>
        <w:widowControl/>
        <w:spacing w:before="50" w:after="50"/>
        <w:jc w:val="left"/>
        <w:outlineLvl w:val="3"/>
        <w:rPr>
          <w:rFonts w:ascii="宋体" w:hAnsi="宋体" w:cs="黑体"/>
        </w:rPr>
      </w:pPr>
      <w:r>
        <w:rPr>
          <w:rFonts w:ascii="黑体" w:eastAsia="黑体" w:hAnsi="黑体"/>
        </w:rPr>
        <w:t xml:space="preserve">6.4.1 </w:t>
      </w:r>
      <w:r>
        <w:rPr>
          <w:rFonts w:ascii="宋体" w:hAnsi="宋体" w:cs="黑体" w:hint="eastAsia"/>
        </w:rPr>
        <w:t>除了</w:t>
      </w:r>
      <w:bookmarkStart w:id="194" w:name="_Hlk88682093"/>
      <w:r>
        <w:rPr>
          <w:rFonts w:ascii="宋体" w:hAnsi="宋体" w:cs="黑体" w:hint="eastAsia"/>
        </w:rPr>
        <w:t>市政府</w:t>
      </w:r>
      <w:r w:rsidR="00F65813" w:rsidRPr="00F65813">
        <w:rPr>
          <w:rFonts w:ascii="宋体" w:hAnsi="宋体" w:cs="黑体" w:hint="eastAsia"/>
          <w:color w:val="000000" w:themeColor="text1"/>
        </w:rPr>
        <w:t>批准的重大</w:t>
      </w:r>
      <w:r w:rsidR="00F65813" w:rsidRPr="00F65813">
        <w:rPr>
          <w:rFonts w:ascii="宋体" w:hAnsi="宋体" w:cs="黑体" w:hint="eastAsia"/>
          <w:color w:val="FF0000"/>
        </w:rPr>
        <w:t>节日</w:t>
      </w:r>
      <w:r w:rsidR="00F65813" w:rsidRPr="00F65813">
        <w:rPr>
          <w:rFonts w:ascii="宋体" w:hAnsi="宋体" w:cs="黑体"/>
          <w:color w:val="FF0000"/>
        </w:rPr>
        <w:t>或重大</w:t>
      </w:r>
      <w:r w:rsidR="00F65813" w:rsidRPr="00F65813">
        <w:rPr>
          <w:rFonts w:ascii="宋体" w:hAnsi="宋体" w:cs="黑体" w:hint="eastAsia"/>
          <w:color w:val="FF0000"/>
        </w:rPr>
        <w:t>活动</w:t>
      </w:r>
      <w:bookmarkEnd w:id="194"/>
      <w:r w:rsidR="00F65813" w:rsidRPr="00F65813">
        <w:rPr>
          <w:rFonts w:ascii="宋体" w:hAnsi="宋体" w:cs="黑体" w:hint="eastAsia"/>
          <w:color w:val="000000" w:themeColor="text1"/>
        </w:rPr>
        <w:t>的动态灯光表演外，不应使用任何高亮度探照灯或光</w:t>
      </w:r>
      <w:r>
        <w:rPr>
          <w:rFonts w:ascii="宋体" w:hAnsi="宋体" w:cs="黑体" w:hint="eastAsia"/>
        </w:rPr>
        <w:t>束灯。</w:t>
      </w:r>
    </w:p>
    <w:p w:rsidR="00F65813" w:rsidRDefault="00EB0B4C">
      <w:pPr>
        <w:widowControl/>
        <w:spacing w:before="50" w:after="50"/>
        <w:jc w:val="left"/>
        <w:outlineLvl w:val="3"/>
        <w:rPr>
          <w:rFonts w:ascii="宋体" w:hAnsi="宋体" w:cs="黑体"/>
        </w:rPr>
      </w:pPr>
      <w:r>
        <w:rPr>
          <w:rFonts w:ascii="黑体" w:eastAsia="黑体" w:hAnsi="黑体"/>
        </w:rPr>
        <w:t xml:space="preserve">6.4.2 </w:t>
      </w:r>
      <w:r>
        <w:rPr>
          <w:rFonts w:ascii="宋体" w:hAnsi="宋体" w:cs="黑体" w:hint="eastAsia"/>
        </w:rPr>
        <w:t>激光用于景观照明时，应严格控制光束的投射方向，避免对人眼造成危害。</w:t>
      </w:r>
    </w:p>
    <w:p w:rsidR="00F65813" w:rsidRDefault="00EB0B4C">
      <w:pPr>
        <w:widowControl/>
        <w:spacing w:before="50" w:after="50"/>
        <w:jc w:val="left"/>
        <w:outlineLvl w:val="3"/>
        <w:rPr>
          <w:rFonts w:ascii="宋体" w:hAnsi="宋体"/>
        </w:rPr>
      </w:pPr>
      <w:r>
        <w:rPr>
          <w:rFonts w:ascii="黑体" w:eastAsia="黑体" w:hAnsi="黑体"/>
        </w:rPr>
        <w:t xml:space="preserve">6.4.3 </w:t>
      </w:r>
      <w:r>
        <w:rPr>
          <w:rFonts w:ascii="宋体" w:hAnsi="宋体" w:cs="黑体" w:hint="eastAsia"/>
        </w:rPr>
        <w:t>白光灯具按</w:t>
      </w:r>
      <w:r>
        <w:rPr>
          <w:rFonts w:ascii="宋体" w:hAnsi="宋体" w:cs="黑体"/>
        </w:rPr>
        <w:t>IEC TR 62778</w:t>
      </w:r>
      <w:r>
        <w:rPr>
          <w:rFonts w:ascii="宋体" w:hAnsi="宋体" w:cs="黑体" w:hint="eastAsia"/>
        </w:rPr>
        <w:t>评估的蓝光危害类别不应超过</w:t>
      </w:r>
      <w:r>
        <w:rPr>
          <w:rFonts w:ascii="宋体" w:hAnsi="宋体" w:cs="黑体"/>
        </w:rPr>
        <w:t>RG1</w:t>
      </w:r>
      <w:r>
        <w:rPr>
          <w:rFonts w:ascii="宋体" w:hAnsi="宋体" w:cs="黑体" w:hint="eastAsia"/>
        </w:rPr>
        <w:t>。</w:t>
      </w:r>
    </w:p>
    <w:p w:rsidR="00F65813" w:rsidRDefault="00EB0B4C">
      <w:pPr>
        <w:pStyle w:val="a4"/>
        <w:numPr>
          <w:ilvl w:val="0"/>
          <w:numId w:val="0"/>
        </w:numPr>
        <w:spacing w:before="156" w:after="156"/>
        <w:rPr>
          <w:rFonts w:ascii="Times New Roman" w:cs="Times New Roman"/>
        </w:rPr>
      </w:pPr>
      <w:bookmarkStart w:id="195" w:name="_Toc71206574"/>
      <w:r>
        <w:rPr>
          <w:rFonts w:hAnsi="黑体"/>
        </w:rPr>
        <w:t xml:space="preserve">6.5 </w:t>
      </w:r>
      <w:r>
        <w:rPr>
          <w:rFonts w:ascii="Times New Roman" w:cs="Times New Roman" w:hint="eastAsia"/>
        </w:rPr>
        <w:t>光度要求</w:t>
      </w:r>
      <w:bookmarkEnd w:id="195"/>
    </w:p>
    <w:p w:rsidR="00F65813" w:rsidRDefault="00EB0B4C">
      <w:pPr>
        <w:widowControl/>
        <w:spacing w:before="50" w:after="50"/>
        <w:jc w:val="left"/>
        <w:outlineLvl w:val="3"/>
        <w:rPr>
          <w:rFonts w:ascii="宋体" w:hAnsi="宋体" w:cs="黑体"/>
        </w:rPr>
      </w:pPr>
      <w:r>
        <w:rPr>
          <w:rFonts w:ascii="黑体" w:eastAsia="黑体" w:hAnsi="黑体"/>
        </w:rPr>
        <w:t xml:space="preserve">6.5.1 </w:t>
      </w:r>
      <w:r>
        <w:rPr>
          <w:rFonts w:ascii="宋体" w:hAnsi="宋体" w:cs="黑体" w:hint="eastAsia"/>
        </w:rPr>
        <w:t>用于景观照明的灯具应提供完整的光度数据，供使用者在照明设计时选用和计算。</w:t>
      </w:r>
    </w:p>
    <w:p w:rsidR="00F65813" w:rsidRDefault="00EB0B4C">
      <w:pPr>
        <w:widowControl/>
        <w:spacing w:before="50" w:after="50"/>
        <w:jc w:val="left"/>
        <w:outlineLvl w:val="3"/>
        <w:rPr>
          <w:rFonts w:ascii="宋体" w:hAnsi="宋体" w:cs="黑体"/>
        </w:rPr>
      </w:pPr>
      <w:r>
        <w:rPr>
          <w:rFonts w:ascii="黑体" w:eastAsia="黑体" w:hAnsi="黑体"/>
        </w:rPr>
        <w:t xml:space="preserve">6.5.2 </w:t>
      </w:r>
      <w:r>
        <w:rPr>
          <w:rFonts w:ascii="宋体" w:hAnsi="宋体" w:cs="黑体" w:hint="eastAsia"/>
        </w:rPr>
        <w:t>白光灯具的相关色温和允差应符合表</w:t>
      </w:r>
      <w:r>
        <w:rPr>
          <w:rFonts w:ascii="宋体" w:hAnsi="宋体" w:cs="黑体"/>
        </w:rPr>
        <w:t>6</w:t>
      </w:r>
      <w:r>
        <w:rPr>
          <w:rFonts w:ascii="宋体" w:hAnsi="宋体" w:cs="黑体" w:hint="eastAsia"/>
        </w:rPr>
        <w:t>的规定。</w:t>
      </w:r>
    </w:p>
    <w:p w:rsidR="00F65813" w:rsidRDefault="00EB0B4C">
      <w:pPr>
        <w:pStyle w:val="af4"/>
        <w:keepNext/>
        <w:widowControl w:val="0"/>
        <w:numPr>
          <w:ilvl w:val="0"/>
          <w:numId w:val="0"/>
        </w:numPr>
        <w:tabs>
          <w:tab w:val="left" w:pos="360"/>
        </w:tabs>
        <w:spacing w:before="156" w:after="156"/>
        <w:rPr>
          <w:rFonts w:ascii="Times New Roman" w:cs="Times New Roman"/>
        </w:rPr>
      </w:pPr>
      <w:r>
        <w:rPr>
          <w:rFonts w:ascii="Times New Roman" w:cs="Times New Roman" w:hint="eastAsia"/>
        </w:rPr>
        <w:t>表</w:t>
      </w:r>
      <w:r>
        <w:rPr>
          <w:rFonts w:ascii="Times New Roman" w:cs="Times New Roman"/>
        </w:rPr>
        <w:t xml:space="preserve">6  </w:t>
      </w:r>
      <w:r>
        <w:rPr>
          <w:rFonts w:ascii="Times New Roman" w:cs="Times New Roman" w:hint="eastAsia"/>
        </w:rPr>
        <w:t>白光灯具的色品参数</w:t>
      </w:r>
    </w:p>
    <w:tbl>
      <w:tblPr>
        <w:tblW w:w="8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5"/>
        <w:gridCol w:w="1187"/>
        <w:gridCol w:w="1091"/>
        <w:gridCol w:w="1863"/>
        <w:gridCol w:w="1732"/>
      </w:tblGrid>
      <w:tr w:rsidR="00F65813">
        <w:trPr>
          <w:trHeight w:val="398"/>
          <w:tblHeader/>
          <w:jc w:val="center"/>
        </w:trPr>
        <w:tc>
          <w:tcPr>
            <w:tcW w:w="2375" w:type="dxa"/>
            <w:vMerge w:val="restart"/>
            <w:vAlign w:val="center"/>
          </w:tcPr>
          <w:p w:rsidR="00F65813" w:rsidRDefault="00EB0B4C">
            <w:pPr>
              <w:keepNext/>
              <w:spacing w:after="0"/>
              <w:jc w:val="center"/>
              <w:rPr>
                <w:rFonts w:ascii="宋体" w:hAnsi="宋体"/>
                <w:kern w:val="0"/>
                <w:sz w:val="18"/>
                <w:szCs w:val="18"/>
              </w:rPr>
            </w:pPr>
            <w:r>
              <w:rPr>
                <w:rFonts w:ascii="宋体" w:hAnsi="宋体" w:hint="eastAsia"/>
                <w:kern w:val="0"/>
                <w:sz w:val="18"/>
                <w:szCs w:val="18"/>
              </w:rPr>
              <w:t>色调规格</w:t>
            </w:r>
          </w:p>
        </w:tc>
        <w:tc>
          <w:tcPr>
            <w:tcW w:w="5873" w:type="dxa"/>
            <w:gridSpan w:val="4"/>
            <w:vAlign w:val="center"/>
          </w:tcPr>
          <w:p w:rsidR="00F65813" w:rsidRDefault="00EB0B4C">
            <w:pPr>
              <w:keepNext/>
              <w:widowControl/>
              <w:spacing w:after="0"/>
              <w:jc w:val="center"/>
              <w:rPr>
                <w:rFonts w:ascii="宋体" w:hAnsi="宋体"/>
                <w:iCs/>
                <w:kern w:val="0"/>
                <w:sz w:val="18"/>
                <w:szCs w:val="18"/>
              </w:rPr>
            </w:pPr>
            <w:r>
              <w:rPr>
                <w:rFonts w:ascii="宋体" w:hAnsi="宋体" w:hint="eastAsia"/>
                <w:iCs/>
                <w:kern w:val="0"/>
                <w:sz w:val="18"/>
                <w:szCs w:val="18"/>
              </w:rPr>
              <w:t>色品参数</w:t>
            </w:r>
          </w:p>
        </w:tc>
      </w:tr>
      <w:tr w:rsidR="00F65813">
        <w:trPr>
          <w:trHeight w:val="398"/>
          <w:tblHeader/>
          <w:jc w:val="center"/>
        </w:trPr>
        <w:tc>
          <w:tcPr>
            <w:tcW w:w="2375" w:type="dxa"/>
            <w:vMerge/>
            <w:vAlign w:val="center"/>
          </w:tcPr>
          <w:p w:rsidR="00F65813" w:rsidRDefault="00F65813">
            <w:pPr>
              <w:keepNext/>
              <w:spacing w:after="0"/>
              <w:jc w:val="center"/>
              <w:rPr>
                <w:rFonts w:ascii="宋体" w:hAnsi="宋体"/>
                <w:kern w:val="0"/>
                <w:sz w:val="18"/>
                <w:szCs w:val="18"/>
              </w:rPr>
            </w:pPr>
          </w:p>
        </w:tc>
        <w:tc>
          <w:tcPr>
            <w:tcW w:w="2278" w:type="dxa"/>
            <w:gridSpan w:val="2"/>
            <w:vAlign w:val="center"/>
          </w:tcPr>
          <w:p w:rsidR="00F65813" w:rsidRDefault="00EB0B4C">
            <w:pPr>
              <w:keepNext/>
              <w:widowControl/>
              <w:spacing w:after="0"/>
              <w:jc w:val="center"/>
              <w:rPr>
                <w:rFonts w:ascii="宋体" w:hAnsi="宋体"/>
                <w:kern w:val="0"/>
                <w:sz w:val="18"/>
                <w:szCs w:val="18"/>
              </w:rPr>
            </w:pPr>
            <w:r>
              <w:rPr>
                <w:rFonts w:ascii="宋体" w:hAnsi="宋体" w:hint="eastAsia"/>
                <w:kern w:val="0"/>
                <w:sz w:val="18"/>
                <w:szCs w:val="18"/>
              </w:rPr>
              <w:t>色坐标目标值</w:t>
            </w:r>
          </w:p>
        </w:tc>
        <w:tc>
          <w:tcPr>
            <w:tcW w:w="1863" w:type="dxa"/>
            <w:vMerge w:val="restart"/>
            <w:shd w:val="clear" w:color="auto" w:fill="auto"/>
            <w:noWrap/>
            <w:vAlign w:val="center"/>
          </w:tcPr>
          <w:p w:rsidR="00F65813" w:rsidRDefault="00EB0B4C">
            <w:pPr>
              <w:keepNext/>
              <w:widowControl/>
              <w:spacing w:after="0"/>
              <w:jc w:val="center"/>
              <w:rPr>
                <w:rFonts w:ascii="宋体" w:hAnsi="宋体"/>
                <w:kern w:val="0"/>
                <w:sz w:val="18"/>
                <w:szCs w:val="18"/>
              </w:rPr>
            </w:pPr>
            <w:r>
              <w:rPr>
                <w:rFonts w:ascii="宋体" w:hAnsi="宋体" w:hint="eastAsia"/>
                <w:kern w:val="0"/>
                <w:sz w:val="18"/>
                <w:szCs w:val="18"/>
              </w:rPr>
              <w:t>相关色温目标值</w:t>
            </w:r>
          </w:p>
          <w:p w:rsidR="00F65813" w:rsidRDefault="00EB0B4C">
            <w:pPr>
              <w:keepNext/>
              <w:spacing w:after="0"/>
              <w:jc w:val="center"/>
              <w:rPr>
                <w:rFonts w:ascii="宋体" w:hAnsi="宋体"/>
                <w:kern w:val="0"/>
                <w:sz w:val="18"/>
                <w:szCs w:val="18"/>
              </w:rPr>
            </w:pPr>
            <w:r>
              <w:rPr>
                <w:rFonts w:ascii="宋体" w:hAnsi="宋体"/>
                <w:kern w:val="0"/>
                <w:sz w:val="18"/>
                <w:szCs w:val="18"/>
              </w:rPr>
              <w:t>K</w:t>
            </w:r>
          </w:p>
        </w:tc>
        <w:tc>
          <w:tcPr>
            <w:tcW w:w="1732" w:type="dxa"/>
            <w:vMerge w:val="restart"/>
            <w:shd w:val="clear" w:color="000000" w:fill="FFFFFF"/>
            <w:vAlign w:val="center"/>
          </w:tcPr>
          <w:p w:rsidR="00F65813" w:rsidRDefault="00EB0B4C">
            <w:pPr>
              <w:keepNext/>
              <w:widowControl/>
              <w:spacing w:after="0"/>
              <w:jc w:val="center"/>
              <w:rPr>
                <w:rFonts w:ascii="宋体" w:hAnsi="宋体"/>
                <w:kern w:val="0"/>
                <w:sz w:val="18"/>
                <w:szCs w:val="18"/>
              </w:rPr>
            </w:pPr>
            <w:r>
              <w:rPr>
                <w:rFonts w:ascii="宋体" w:hAnsi="宋体" w:hint="eastAsia"/>
                <w:iCs/>
                <w:kern w:val="0"/>
                <w:sz w:val="18"/>
                <w:szCs w:val="18"/>
              </w:rPr>
              <w:t>色</w:t>
            </w:r>
            <w:r>
              <w:rPr>
                <w:rFonts w:ascii="宋体" w:hAnsi="宋体" w:hint="eastAsia"/>
                <w:kern w:val="0"/>
                <w:sz w:val="18"/>
                <w:szCs w:val="18"/>
              </w:rPr>
              <w:t>容差</w:t>
            </w:r>
          </w:p>
          <w:p w:rsidR="00F65813" w:rsidRDefault="00F65813">
            <w:pPr>
              <w:keepNext/>
              <w:spacing w:after="0"/>
              <w:jc w:val="center"/>
              <w:rPr>
                <w:rFonts w:ascii="宋体" w:hAnsi="宋体"/>
                <w:iCs/>
                <w:kern w:val="0"/>
                <w:sz w:val="18"/>
                <w:szCs w:val="18"/>
              </w:rPr>
            </w:pPr>
          </w:p>
        </w:tc>
      </w:tr>
      <w:tr w:rsidR="00F65813">
        <w:trPr>
          <w:trHeight w:val="398"/>
          <w:tblHeader/>
          <w:jc w:val="center"/>
        </w:trPr>
        <w:tc>
          <w:tcPr>
            <w:tcW w:w="2375" w:type="dxa"/>
            <w:vMerge/>
            <w:vAlign w:val="center"/>
          </w:tcPr>
          <w:p w:rsidR="00F65813" w:rsidRDefault="00F65813">
            <w:pPr>
              <w:keepNext/>
              <w:widowControl/>
              <w:spacing w:after="0"/>
              <w:jc w:val="center"/>
              <w:rPr>
                <w:rFonts w:ascii="宋体" w:hAnsi="宋体"/>
                <w:kern w:val="0"/>
                <w:sz w:val="18"/>
                <w:szCs w:val="18"/>
              </w:rPr>
            </w:pPr>
          </w:p>
        </w:tc>
        <w:tc>
          <w:tcPr>
            <w:tcW w:w="1187" w:type="dxa"/>
            <w:vAlign w:val="center"/>
          </w:tcPr>
          <w:p w:rsidR="00F65813" w:rsidRDefault="00EB0B4C">
            <w:pPr>
              <w:keepNext/>
              <w:widowControl/>
              <w:spacing w:after="0"/>
              <w:jc w:val="center"/>
              <w:rPr>
                <w:rFonts w:ascii="宋体" w:hAnsi="宋体"/>
                <w:i/>
                <w:iCs/>
                <w:kern w:val="0"/>
                <w:sz w:val="18"/>
                <w:szCs w:val="18"/>
              </w:rPr>
            </w:pPr>
            <w:r>
              <w:rPr>
                <w:rFonts w:ascii="宋体" w:hAnsi="宋体"/>
                <w:i/>
                <w:iCs/>
                <w:kern w:val="0"/>
                <w:sz w:val="18"/>
                <w:szCs w:val="18"/>
              </w:rPr>
              <w:t>x</w:t>
            </w:r>
          </w:p>
        </w:tc>
        <w:tc>
          <w:tcPr>
            <w:tcW w:w="1091" w:type="dxa"/>
            <w:vAlign w:val="center"/>
          </w:tcPr>
          <w:p w:rsidR="00F65813" w:rsidRDefault="00EB0B4C">
            <w:pPr>
              <w:keepNext/>
              <w:widowControl/>
              <w:spacing w:after="0"/>
              <w:jc w:val="center"/>
              <w:rPr>
                <w:rFonts w:ascii="宋体" w:hAnsi="宋体"/>
                <w:i/>
                <w:iCs/>
                <w:kern w:val="0"/>
                <w:sz w:val="18"/>
                <w:szCs w:val="18"/>
              </w:rPr>
            </w:pPr>
            <w:r>
              <w:rPr>
                <w:rFonts w:ascii="宋体" w:hAnsi="宋体"/>
                <w:i/>
                <w:iCs/>
                <w:kern w:val="0"/>
                <w:sz w:val="18"/>
                <w:szCs w:val="18"/>
              </w:rPr>
              <w:t>y</w:t>
            </w:r>
          </w:p>
        </w:tc>
        <w:tc>
          <w:tcPr>
            <w:tcW w:w="1863" w:type="dxa"/>
            <w:vMerge/>
            <w:shd w:val="clear" w:color="auto" w:fill="auto"/>
            <w:noWrap/>
            <w:vAlign w:val="center"/>
          </w:tcPr>
          <w:p w:rsidR="00F65813" w:rsidRDefault="00F65813">
            <w:pPr>
              <w:keepNext/>
              <w:widowControl/>
              <w:spacing w:after="0"/>
              <w:jc w:val="center"/>
              <w:rPr>
                <w:rFonts w:ascii="宋体" w:hAnsi="宋体"/>
                <w:kern w:val="0"/>
                <w:sz w:val="18"/>
                <w:szCs w:val="18"/>
              </w:rPr>
            </w:pPr>
          </w:p>
        </w:tc>
        <w:tc>
          <w:tcPr>
            <w:tcW w:w="1732" w:type="dxa"/>
            <w:vMerge/>
            <w:shd w:val="clear" w:color="000000" w:fill="FFFFFF"/>
            <w:vAlign w:val="center"/>
          </w:tcPr>
          <w:p w:rsidR="00F65813" w:rsidRDefault="00F65813">
            <w:pPr>
              <w:keepNext/>
              <w:widowControl/>
              <w:spacing w:after="0"/>
              <w:jc w:val="center"/>
              <w:rPr>
                <w:rFonts w:ascii="宋体" w:hAnsi="宋体"/>
                <w:kern w:val="0"/>
                <w:sz w:val="18"/>
                <w:szCs w:val="18"/>
              </w:rPr>
            </w:pPr>
          </w:p>
        </w:tc>
      </w:tr>
      <w:tr w:rsidR="00F65813">
        <w:trPr>
          <w:trHeight w:val="455"/>
          <w:jc w:val="center"/>
        </w:trPr>
        <w:tc>
          <w:tcPr>
            <w:tcW w:w="2375" w:type="dxa"/>
            <w:vAlign w:val="center"/>
          </w:tcPr>
          <w:p w:rsidR="00F65813" w:rsidRDefault="00F65813">
            <w:pPr>
              <w:keepNext/>
              <w:widowControl/>
              <w:spacing w:after="0"/>
              <w:jc w:val="left"/>
              <w:rPr>
                <w:rFonts w:ascii="宋体" w:hAnsi="宋体"/>
                <w:kern w:val="0"/>
                <w:sz w:val="18"/>
                <w:szCs w:val="18"/>
              </w:rPr>
            </w:pPr>
            <w:r w:rsidRPr="00F65813">
              <w:rPr>
                <w:rFonts w:ascii="宋体" w:hAnsi="宋体"/>
                <w:kern w:val="0"/>
                <w:sz w:val="18"/>
                <w:szCs w:val="18"/>
              </w:rPr>
              <w:t>6500 K</w:t>
            </w:r>
            <w:r w:rsidRPr="00F65813">
              <w:rPr>
                <w:rFonts w:ascii="宋体" w:hAnsi="宋体" w:hint="eastAsia"/>
                <w:kern w:val="0"/>
                <w:sz w:val="18"/>
                <w:szCs w:val="18"/>
              </w:rPr>
              <w:t>（日光色）</w:t>
            </w:r>
          </w:p>
        </w:tc>
        <w:tc>
          <w:tcPr>
            <w:tcW w:w="1187" w:type="dxa"/>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0.313</w:t>
            </w:r>
          </w:p>
        </w:tc>
        <w:tc>
          <w:tcPr>
            <w:tcW w:w="1091" w:type="dxa"/>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0.337</w:t>
            </w:r>
          </w:p>
        </w:tc>
        <w:tc>
          <w:tcPr>
            <w:tcW w:w="1863" w:type="dxa"/>
            <w:shd w:val="clear" w:color="auto" w:fill="auto"/>
            <w:noWrap/>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6430</w:t>
            </w:r>
          </w:p>
        </w:tc>
        <w:tc>
          <w:tcPr>
            <w:tcW w:w="1732" w:type="dxa"/>
            <w:vMerge w:val="restart"/>
            <w:shd w:val="clear" w:color="000000" w:fill="FFFFFF"/>
            <w:vAlign w:val="center"/>
          </w:tcPr>
          <w:p w:rsidR="00F65813" w:rsidRDefault="00F65813">
            <w:pPr>
              <w:keepNext/>
              <w:widowControl/>
              <w:spacing w:after="0"/>
              <w:jc w:val="center"/>
              <w:rPr>
                <w:rFonts w:ascii="宋体" w:hAnsi="宋体"/>
                <w:kern w:val="0"/>
                <w:sz w:val="18"/>
                <w:szCs w:val="18"/>
              </w:rPr>
            </w:pPr>
            <w:r w:rsidRPr="00F65813">
              <w:rPr>
                <w:rFonts w:ascii="宋体" w:hAnsi="宋体" w:hint="eastAsia"/>
                <w:kern w:val="0"/>
                <w:sz w:val="18"/>
                <w:szCs w:val="18"/>
              </w:rPr>
              <w:t>≤</w:t>
            </w:r>
            <w:r w:rsidRPr="00F65813">
              <w:rPr>
                <w:rFonts w:ascii="宋体" w:hAnsi="宋体"/>
                <w:kern w:val="0"/>
                <w:sz w:val="18"/>
                <w:szCs w:val="18"/>
              </w:rPr>
              <w:t>5</w:t>
            </w:r>
          </w:p>
        </w:tc>
      </w:tr>
      <w:tr w:rsidR="00F65813">
        <w:trPr>
          <w:trHeight w:val="455"/>
          <w:jc w:val="center"/>
        </w:trPr>
        <w:tc>
          <w:tcPr>
            <w:tcW w:w="2375" w:type="dxa"/>
            <w:vAlign w:val="center"/>
          </w:tcPr>
          <w:p w:rsidR="00F65813" w:rsidRDefault="00F65813">
            <w:pPr>
              <w:keepNext/>
              <w:widowControl/>
              <w:spacing w:after="0"/>
              <w:jc w:val="left"/>
              <w:rPr>
                <w:rFonts w:ascii="宋体" w:hAnsi="宋体"/>
                <w:kern w:val="0"/>
                <w:sz w:val="18"/>
                <w:szCs w:val="18"/>
              </w:rPr>
            </w:pPr>
            <w:r w:rsidRPr="00F65813">
              <w:rPr>
                <w:rFonts w:ascii="宋体" w:hAnsi="宋体"/>
                <w:kern w:val="0"/>
                <w:sz w:val="18"/>
                <w:szCs w:val="18"/>
              </w:rPr>
              <w:t>5000 K</w:t>
            </w:r>
            <w:r w:rsidRPr="00F65813">
              <w:rPr>
                <w:rFonts w:ascii="宋体" w:hAnsi="宋体" w:hint="eastAsia"/>
                <w:kern w:val="0"/>
                <w:sz w:val="18"/>
                <w:szCs w:val="18"/>
              </w:rPr>
              <w:t>（中性白色）</w:t>
            </w:r>
          </w:p>
        </w:tc>
        <w:tc>
          <w:tcPr>
            <w:tcW w:w="1187" w:type="dxa"/>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0.346</w:t>
            </w:r>
          </w:p>
        </w:tc>
        <w:tc>
          <w:tcPr>
            <w:tcW w:w="1091" w:type="dxa"/>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0.359</w:t>
            </w:r>
          </w:p>
        </w:tc>
        <w:tc>
          <w:tcPr>
            <w:tcW w:w="1863" w:type="dxa"/>
            <w:shd w:val="clear" w:color="auto" w:fill="auto"/>
            <w:noWrap/>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5000</w:t>
            </w:r>
          </w:p>
        </w:tc>
        <w:tc>
          <w:tcPr>
            <w:tcW w:w="1732" w:type="dxa"/>
            <w:vMerge/>
            <w:shd w:val="clear" w:color="000000" w:fill="FFFFFF"/>
            <w:vAlign w:val="center"/>
          </w:tcPr>
          <w:p w:rsidR="00F65813" w:rsidRPr="00F65813" w:rsidRDefault="00F65813">
            <w:pPr>
              <w:keepNext/>
              <w:keepLines/>
              <w:widowControl/>
              <w:spacing w:before="340" w:after="0"/>
              <w:jc w:val="center"/>
              <w:outlineLvl w:val="0"/>
              <w:rPr>
                <w:rFonts w:ascii="宋体" w:hAnsi="宋体"/>
                <w:kern w:val="0"/>
                <w:sz w:val="18"/>
                <w:szCs w:val="18"/>
              </w:rPr>
            </w:pPr>
          </w:p>
        </w:tc>
      </w:tr>
      <w:tr w:rsidR="00F65813">
        <w:trPr>
          <w:trHeight w:val="455"/>
          <w:jc w:val="center"/>
        </w:trPr>
        <w:tc>
          <w:tcPr>
            <w:tcW w:w="2375" w:type="dxa"/>
            <w:vAlign w:val="center"/>
          </w:tcPr>
          <w:p w:rsidR="00F65813" w:rsidRDefault="00F65813">
            <w:pPr>
              <w:keepNext/>
              <w:widowControl/>
              <w:spacing w:after="0"/>
              <w:jc w:val="left"/>
              <w:rPr>
                <w:rFonts w:ascii="宋体" w:hAnsi="宋体"/>
                <w:kern w:val="0"/>
                <w:sz w:val="18"/>
                <w:szCs w:val="18"/>
              </w:rPr>
            </w:pPr>
            <w:r w:rsidRPr="00F65813">
              <w:rPr>
                <w:rFonts w:ascii="宋体" w:hAnsi="宋体"/>
                <w:kern w:val="0"/>
                <w:sz w:val="18"/>
                <w:szCs w:val="18"/>
              </w:rPr>
              <w:t>4000 K</w:t>
            </w:r>
            <w:r w:rsidRPr="00F65813">
              <w:rPr>
                <w:rFonts w:ascii="宋体" w:hAnsi="宋体" w:hint="eastAsia"/>
                <w:kern w:val="0"/>
                <w:sz w:val="18"/>
                <w:szCs w:val="18"/>
              </w:rPr>
              <w:t>（冷白色）</w:t>
            </w:r>
          </w:p>
        </w:tc>
        <w:tc>
          <w:tcPr>
            <w:tcW w:w="1187" w:type="dxa"/>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0.380</w:t>
            </w:r>
          </w:p>
        </w:tc>
        <w:tc>
          <w:tcPr>
            <w:tcW w:w="1091" w:type="dxa"/>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0.380</w:t>
            </w:r>
          </w:p>
        </w:tc>
        <w:tc>
          <w:tcPr>
            <w:tcW w:w="1863" w:type="dxa"/>
            <w:shd w:val="clear" w:color="auto" w:fill="auto"/>
            <w:noWrap/>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4040</w:t>
            </w:r>
          </w:p>
        </w:tc>
        <w:tc>
          <w:tcPr>
            <w:tcW w:w="1732" w:type="dxa"/>
            <w:vMerge/>
            <w:shd w:val="clear" w:color="000000" w:fill="FFFFFF"/>
            <w:vAlign w:val="center"/>
          </w:tcPr>
          <w:p w:rsidR="00F65813" w:rsidRPr="00F65813" w:rsidRDefault="00F65813">
            <w:pPr>
              <w:keepNext/>
              <w:keepLines/>
              <w:widowControl/>
              <w:spacing w:before="340" w:after="0"/>
              <w:jc w:val="center"/>
              <w:outlineLvl w:val="0"/>
              <w:rPr>
                <w:rFonts w:ascii="宋体" w:hAnsi="宋体"/>
                <w:kern w:val="0"/>
                <w:sz w:val="18"/>
                <w:szCs w:val="18"/>
              </w:rPr>
            </w:pPr>
          </w:p>
        </w:tc>
      </w:tr>
      <w:tr w:rsidR="00F65813">
        <w:trPr>
          <w:trHeight w:val="455"/>
          <w:jc w:val="center"/>
        </w:trPr>
        <w:tc>
          <w:tcPr>
            <w:tcW w:w="2375" w:type="dxa"/>
            <w:vAlign w:val="center"/>
          </w:tcPr>
          <w:p w:rsidR="00F65813" w:rsidRDefault="00F65813">
            <w:pPr>
              <w:keepNext/>
              <w:widowControl/>
              <w:spacing w:after="0"/>
              <w:jc w:val="left"/>
              <w:rPr>
                <w:rFonts w:ascii="宋体" w:hAnsi="宋体"/>
                <w:kern w:val="0"/>
                <w:sz w:val="18"/>
                <w:szCs w:val="18"/>
              </w:rPr>
            </w:pPr>
            <w:r w:rsidRPr="00F65813">
              <w:rPr>
                <w:rFonts w:ascii="宋体" w:hAnsi="宋体"/>
                <w:kern w:val="0"/>
                <w:sz w:val="18"/>
                <w:szCs w:val="18"/>
              </w:rPr>
              <w:t>3500 K</w:t>
            </w:r>
            <w:r w:rsidRPr="00F65813">
              <w:rPr>
                <w:rFonts w:ascii="宋体" w:hAnsi="宋体" w:hint="eastAsia"/>
                <w:kern w:val="0"/>
                <w:sz w:val="18"/>
                <w:szCs w:val="18"/>
              </w:rPr>
              <w:t>（白色）</w:t>
            </w:r>
          </w:p>
        </w:tc>
        <w:tc>
          <w:tcPr>
            <w:tcW w:w="1187" w:type="dxa"/>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0.409</w:t>
            </w:r>
          </w:p>
        </w:tc>
        <w:tc>
          <w:tcPr>
            <w:tcW w:w="1091" w:type="dxa"/>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0.394</w:t>
            </w:r>
          </w:p>
        </w:tc>
        <w:tc>
          <w:tcPr>
            <w:tcW w:w="1863" w:type="dxa"/>
            <w:shd w:val="clear" w:color="auto" w:fill="auto"/>
            <w:noWrap/>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3450</w:t>
            </w:r>
          </w:p>
        </w:tc>
        <w:tc>
          <w:tcPr>
            <w:tcW w:w="1732" w:type="dxa"/>
            <w:vMerge/>
            <w:shd w:val="clear" w:color="000000" w:fill="FFFFFF"/>
            <w:vAlign w:val="center"/>
          </w:tcPr>
          <w:p w:rsidR="00F65813" w:rsidRPr="00F65813" w:rsidRDefault="00F65813">
            <w:pPr>
              <w:keepNext/>
              <w:keepLines/>
              <w:widowControl/>
              <w:spacing w:before="340" w:after="0"/>
              <w:jc w:val="center"/>
              <w:outlineLvl w:val="0"/>
              <w:rPr>
                <w:rFonts w:ascii="宋体" w:hAnsi="宋体"/>
                <w:kern w:val="0"/>
                <w:sz w:val="18"/>
                <w:szCs w:val="18"/>
              </w:rPr>
            </w:pPr>
          </w:p>
        </w:tc>
      </w:tr>
      <w:tr w:rsidR="00F65813">
        <w:trPr>
          <w:trHeight w:val="455"/>
          <w:jc w:val="center"/>
        </w:trPr>
        <w:tc>
          <w:tcPr>
            <w:tcW w:w="2375" w:type="dxa"/>
            <w:vAlign w:val="center"/>
          </w:tcPr>
          <w:p w:rsidR="00F65813" w:rsidRDefault="00F65813">
            <w:pPr>
              <w:keepNext/>
              <w:widowControl/>
              <w:spacing w:after="0"/>
              <w:jc w:val="left"/>
              <w:rPr>
                <w:rFonts w:ascii="宋体" w:hAnsi="宋体"/>
                <w:kern w:val="0"/>
                <w:sz w:val="18"/>
                <w:szCs w:val="18"/>
              </w:rPr>
            </w:pPr>
            <w:r w:rsidRPr="00F65813">
              <w:rPr>
                <w:rFonts w:ascii="宋体" w:hAnsi="宋体"/>
                <w:kern w:val="0"/>
                <w:sz w:val="18"/>
                <w:szCs w:val="18"/>
              </w:rPr>
              <w:t>3000 K</w:t>
            </w:r>
            <w:r w:rsidRPr="00F65813">
              <w:rPr>
                <w:rFonts w:ascii="宋体" w:hAnsi="宋体" w:hint="eastAsia"/>
                <w:kern w:val="0"/>
                <w:sz w:val="18"/>
                <w:szCs w:val="18"/>
              </w:rPr>
              <w:t>（暖白色）</w:t>
            </w:r>
          </w:p>
        </w:tc>
        <w:tc>
          <w:tcPr>
            <w:tcW w:w="1187" w:type="dxa"/>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0.440</w:t>
            </w:r>
          </w:p>
        </w:tc>
        <w:tc>
          <w:tcPr>
            <w:tcW w:w="1091" w:type="dxa"/>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0.403</w:t>
            </w:r>
          </w:p>
        </w:tc>
        <w:tc>
          <w:tcPr>
            <w:tcW w:w="1863" w:type="dxa"/>
            <w:shd w:val="clear" w:color="auto" w:fill="auto"/>
            <w:noWrap/>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2940</w:t>
            </w:r>
          </w:p>
        </w:tc>
        <w:tc>
          <w:tcPr>
            <w:tcW w:w="1732" w:type="dxa"/>
            <w:vMerge/>
            <w:shd w:val="clear" w:color="000000" w:fill="FFFFFF"/>
            <w:vAlign w:val="center"/>
          </w:tcPr>
          <w:p w:rsidR="00F65813" w:rsidRPr="00F65813" w:rsidRDefault="00F65813">
            <w:pPr>
              <w:keepNext/>
              <w:keepLines/>
              <w:widowControl/>
              <w:spacing w:before="340" w:after="0"/>
              <w:jc w:val="center"/>
              <w:outlineLvl w:val="0"/>
              <w:rPr>
                <w:rFonts w:ascii="宋体" w:hAnsi="宋体"/>
                <w:kern w:val="0"/>
                <w:sz w:val="18"/>
                <w:szCs w:val="18"/>
              </w:rPr>
            </w:pPr>
          </w:p>
        </w:tc>
      </w:tr>
      <w:tr w:rsidR="00F65813">
        <w:trPr>
          <w:trHeight w:val="455"/>
          <w:jc w:val="center"/>
        </w:trPr>
        <w:tc>
          <w:tcPr>
            <w:tcW w:w="2375" w:type="dxa"/>
            <w:vAlign w:val="center"/>
          </w:tcPr>
          <w:p w:rsidR="00F65813" w:rsidRDefault="00F65813">
            <w:pPr>
              <w:keepNext/>
              <w:widowControl/>
              <w:spacing w:after="0"/>
              <w:jc w:val="left"/>
              <w:rPr>
                <w:rFonts w:ascii="宋体" w:hAnsi="宋体"/>
                <w:kern w:val="0"/>
                <w:sz w:val="18"/>
                <w:szCs w:val="18"/>
              </w:rPr>
            </w:pPr>
            <w:r w:rsidRPr="00F65813">
              <w:rPr>
                <w:rFonts w:ascii="宋体" w:hAnsi="宋体"/>
                <w:kern w:val="0"/>
                <w:sz w:val="18"/>
                <w:szCs w:val="18"/>
              </w:rPr>
              <w:t>2700 K</w:t>
            </w:r>
            <w:r w:rsidRPr="00F65813">
              <w:rPr>
                <w:rFonts w:ascii="宋体" w:hAnsi="宋体" w:hint="eastAsia"/>
                <w:kern w:val="0"/>
                <w:sz w:val="18"/>
                <w:szCs w:val="18"/>
              </w:rPr>
              <w:t>（白炽灯色）</w:t>
            </w:r>
          </w:p>
        </w:tc>
        <w:tc>
          <w:tcPr>
            <w:tcW w:w="1187" w:type="dxa"/>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0.463</w:t>
            </w:r>
          </w:p>
        </w:tc>
        <w:tc>
          <w:tcPr>
            <w:tcW w:w="1091" w:type="dxa"/>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0.420</w:t>
            </w:r>
          </w:p>
        </w:tc>
        <w:tc>
          <w:tcPr>
            <w:tcW w:w="1863" w:type="dxa"/>
            <w:shd w:val="clear" w:color="auto" w:fill="auto"/>
            <w:noWrap/>
            <w:vAlign w:val="center"/>
          </w:tcPr>
          <w:p w:rsidR="00F65813" w:rsidRDefault="00F65813">
            <w:pPr>
              <w:keepNext/>
              <w:widowControl/>
              <w:spacing w:after="0"/>
              <w:jc w:val="center"/>
              <w:rPr>
                <w:rFonts w:ascii="宋体" w:hAnsi="宋体"/>
                <w:kern w:val="0"/>
                <w:sz w:val="18"/>
                <w:szCs w:val="18"/>
              </w:rPr>
            </w:pPr>
            <w:r w:rsidRPr="00F65813">
              <w:rPr>
                <w:rFonts w:ascii="宋体" w:hAnsi="宋体"/>
                <w:kern w:val="0"/>
                <w:sz w:val="18"/>
                <w:szCs w:val="18"/>
              </w:rPr>
              <w:t>2720</w:t>
            </w:r>
          </w:p>
        </w:tc>
        <w:tc>
          <w:tcPr>
            <w:tcW w:w="1732" w:type="dxa"/>
            <w:vMerge/>
            <w:shd w:val="clear" w:color="000000" w:fill="FFFFFF"/>
            <w:vAlign w:val="center"/>
          </w:tcPr>
          <w:p w:rsidR="00F65813" w:rsidRPr="00F65813" w:rsidRDefault="00F65813">
            <w:pPr>
              <w:keepNext/>
              <w:keepLines/>
              <w:widowControl/>
              <w:spacing w:before="340" w:after="0"/>
              <w:jc w:val="center"/>
              <w:outlineLvl w:val="0"/>
              <w:rPr>
                <w:rFonts w:ascii="宋体" w:hAnsi="宋体"/>
                <w:kern w:val="0"/>
                <w:sz w:val="18"/>
                <w:szCs w:val="18"/>
              </w:rPr>
            </w:pPr>
          </w:p>
        </w:tc>
      </w:tr>
    </w:tbl>
    <w:p w:rsidR="00F65813" w:rsidRDefault="00F65813">
      <w:pPr>
        <w:pStyle w:val="a5"/>
        <w:numPr>
          <w:ilvl w:val="0"/>
          <w:numId w:val="0"/>
        </w:numPr>
        <w:spacing w:beforeLines="0" w:afterLines="0"/>
        <w:jc w:val="center"/>
        <w:rPr>
          <w:rFonts w:ascii="Times New Roman" w:eastAsia="宋体" w:cs="Times New Roman"/>
          <w:kern w:val="2"/>
        </w:rPr>
      </w:pPr>
    </w:p>
    <w:p w:rsidR="00F65813" w:rsidRDefault="00EB0B4C">
      <w:pPr>
        <w:widowControl/>
        <w:spacing w:before="50" w:after="50"/>
        <w:jc w:val="left"/>
        <w:outlineLvl w:val="3"/>
        <w:rPr>
          <w:rFonts w:ascii="宋体" w:hAnsi="宋体" w:cs="黑体"/>
        </w:rPr>
      </w:pPr>
      <w:r>
        <w:rPr>
          <w:rFonts w:ascii="黑体" w:eastAsia="黑体" w:hAnsi="黑体"/>
        </w:rPr>
        <w:lastRenderedPageBreak/>
        <w:t xml:space="preserve">6.5.3 </w:t>
      </w:r>
      <w:r>
        <w:rPr>
          <w:rFonts w:ascii="宋体" w:hAnsi="宋体" w:cs="黑体" w:hint="eastAsia"/>
        </w:rPr>
        <w:t>彩色光灯具的主波长范围和激发纯度限值应符合表</w:t>
      </w:r>
      <w:r>
        <w:rPr>
          <w:rFonts w:ascii="宋体" w:hAnsi="宋体" w:cs="黑体"/>
        </w:rPr>
        <w:t>7</w:t>
      </w:r>
      <w:r>
        <w:rPr>
          <w:rFonts w:ascii="宋体" w:hAnsi="宋体" w:cs="黑体" w:hint="eastAsia"/>
        </w:rPr>
        <w:t>的规定。</w:t>
      </w:r>
    </w:p>
    <w:p w:rsidR="00F65813" w:rsidRDefault="00EB0B4C">
      <w:pPr>
        <w:pStyle w:val="af4"/>
        <w:keepNext/>
        <w:widowControl w:val="0"/>
        <w:numPr>
          <w:ilvl w:val="0"/>
          <w:numId w:val="0"/>
        </w:numPr>
        <w:tabs>
          <w:tab w:val="left" w:pos="360"/>
        </w:tabs>
        <w:spacing w:before="156" w:after="156"/>
      </w:pPr>
      <w:r>
        <w:rPr>
          <w:rFonts w:ascii="Times New Roman" w:cs="Times New Roman" w:hint="eastAsia"/>
        </w:rPr>
        <w:t>表</w:t>
      </w:r>
      <w:r>
        <w:rPr>
          <w:rFonts w:ascii="Times New Roman" w:cs="Times New Roman"/>
        </w:rPr>
        <w:t xml:space="preserve">7  </w:t>
      </w:r>
      <w:r>
        <w:rPr>
          <w:rFonts w:ascii="Times New Roman" w:cs="Times New Roman" w:hint="eastAsia"/>
        </w:rPr>
        <w:t>彩色光的主波长范围和激发纯度限值</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16"/>
        <w:gridCol w:w="1916"/>
        <w:gridCol w:w="1914"/>
        <w:gridCol w:w="1912"/>
        <w:gridCol w:w="1912"/>
      </w:tblGrid>
      <w:tr w:rsidR="00F65813">
        <w:trPr>
          <w:trHeight w:val="454"/>
          <w:jc w:val="center"/>
        </w:trPr>
        <w:tc>
          <w:tcPr>
            <w:tcW w:w="1001" w:type="pct"/>
            <w:vAlign w:val="center"/>
          </w:tcPr>
          <w:p w:rsidR="00F65813" w:rsidRDefault="00EB0B4C">
            <w:pPr>
              <w:keepNext/>
              <w:spacing w:after="0"/>
              <w:jc w:val="center"/>
              <w:rPr>
                <w:rFonts w:ascii="宋体" w:hAnsi="宋体"/>
                <w:kern w:val="0"/>
                <w:sz w:val="18"/>
                <w:szCs w:val="18"/>
              </w:rPr>
            </w:pPr>
            <w:r>
              <w:rPr>
                <w:rFonts w:ascii="宋体" w:hAnsi="宋体" w:hint="eastAsia"/>
                <w:kern w:val="0"/>
                <w:sz w:val="18"/>
                <w:szCs w:val="18"/>
              </w:rPr>
              <w:t>颜色</w:t>
            </w:r>
          </w:p>
        </w:tc>
        <w:tc>
          <w:tcPr>
            <w:tcW w:w="1001" w:type="pct"/>
            <w:vAlign w:val="center"/>
          </w:tcPr>
          <w:p w:rsidR="00F65813" w:rsidRDefault="00EB0B4C">
            <w:pPr>
              <w:keepNext/>
              <w:spacing w:after="0"/>
              <w:jc w:val="center"/>
              <w:rPr>
                <w:rFonts w:ascii="宋体" w:hAnsi="宋体"/>
                <w:kern w:val="0"/>
                <w:sz w:val="18"/>
                <w:szCs w:val="18"/>
              </w:rPr>
            </w:pPr>
            <w:r>
              <w:rPr>
                <w:rFonts w:ascii="宋体" w:hAnsi="宋体" w:hint="eastAsia"/>
                <w:kern w:val="0"/>
                <w:sz w:val="18"/>
                <w:szCs w:val="18"/>
              </w:rPr>
              <w:t>红光</w:t>
            </w:r>
          </w:p>
        </w:tc>
        <w:tc>
          <w:tcPr>
            <w:tcW w:w="1000" w:type="pct"/>
            <w:vAlign w:val="center"/>
          </w:tcPr>
          <w:p w:rsidR="00F65813" w:rsidRDefault="00EB0B4C">
            <w:pPr>
              <w:keepNext/>
              <w:spacing w:after="0"/>
              <w:jc w:val="center"/>
              <w:rPr>
                <w:rFonts w:ascii="宋体" w:hAnsi="宋体"/>
                <w:kern w:val="0"/>
                <w:sz w:val="18"/>
                <w:szCs w:val="18"/>
              </w:rPr>
            </w:pPr>
            <w:r>
              <w:rPr>
                <w:rFonts w:ascii="宋体" w:hAnsi="宋体" w:hint="eastAsia"/>
                <w:kern w:val="0"/>
                <w:sz w:val="18"/>
                <w:szCs w:val="18"/>
              </w:rPr>
              <w:t>绿光</w:t>
            </w:r>
          </w:p>
        </w:tc>
        <w:tc>
          <w:tcPr>
            <w:tcW w:w="999" w:type="pct"/>
            <w:vAlign w:val="center"/>
          </w:tcPr>
          <w:p w:rsidR="00F65813" w:rsidRDefault="00EB0B4C">
            <w:pPr>
              <w:keepNext/>
              <w:spacing w:after="0"/>
              <w:jc w:val="center"/>
              <w:rPr>
                <w:rFonts w:ascii="宋体" w:hAnsi="宋体"/>
                <w:kern w:val="0"/>
                <w:sz w:val="18"/>
                <w:szCs w:val="18"/>
              </w:rPr>
            </w:pPr>
            <w:r>
              <w:rPr>
                <w:rFonts w:ascii="宋体" w:hAnsi="宋体" w:hint="eastAsia"/>
                <w:kern w:val="0"/>
                <w:sz w:val="18"/>
                <w:szCs w:val="18"/>
              </w:rPr>
              <w:t>蓝光</w:t>
            </w:r>
          </w:p>
        </w:tc>
        <w:tc>
          <w:tcPr>
            <w:tcW w:w="999" w:type="pct"/>
            <w:vAlign w:val="center"/>
          </w:tcPr>
          <w:p w:rsidR="00F65813" w:rsidRDefault="00EB0B4C">
            <w:pPr>
              <w:keepNext/>
              <w:spacing w:after="0"/>
              <w:jc w:val="center"/>
              <w:rPr>
                <w:rFonts w:ascii="宋体" w:hAnsi="宋体"/>
                <w:kern w:val="0"/>
                <w:sz w:val="18"/>
                <w:szCs w:val="18"/>
              </w:rPr>
            </w:pPr>
            <w:r>
              <w:rPr>
                <w:rFonts w:ascii="宋体" w:hAnsi="宋体" w:hint="eastAsia"/>
                <w:kern w:val="0"/>
                <w:sz w:val="18"/>
                <w:szCs w:val="18"/>
              </w:rPr>
              <w:t>黄光</w:t>
            </w:r>
          </w:p>
        </w:tc>
      </w:tr>
      <w:tr w:rsidR="00F65813">
        <w:trPr>
          <w:trHeight w:val="454"/>
          <w:jc w:val="center"/>
        </w:trPr>
        <w:tc>
          <w:tcPr>
            <w:tcW w:w="1001" w:type="pct"/>
            <w:vAlign w:val="center"/>
          </w:tcPr>
          <w:p w:rsidR="00F65813" w:rsidRDefault="00EB0B4C">
            <w:pPr>
              <w:keepNext/>
              <w:spacing w:after="0"/>
              <w:jc w:val="center"/>
              <w:rPr>
                <w:rFonts w:ascii="宋体" w:hAnsi="宋体"/>
                <w:kern w:val="0"/>
                <w:sz w:val="18"/>
                <w:szCs w:val="18"/>
              </w:rPr>
            </w:pPr>
            <w:r>
              <w:rPr>
                <w:rFonts w:ascii="宋体" w:hAnsi="宋体" w:hint="eastAsia"/>
                <w:kern w:val="0"/>
                <w:sz w:val="18"/>
                <w:szCs w:val="18"/>
              </w:rPr>
              <w:t>主波长范围</w:t>
            </w:r>
          </w:p>
          <w:p w:rsidR="00F65813" w:rsidRDefault="00EB0B4C">
            <w:pPr>
              <w:keepNext/>
              <w:spacing w:after="0"/>
              <w:jc w:val="center"/>
              <w:rPr>
                <w:rFonts w:ascii="宋体" w:hAnsi="宋体"/>
                <w:kern w:val="0"/>
                <w:sz w:val="18"/>
                <w:szCs w:val="18"/>
              </w:rPr>
            </w:pPr>
            <w:r>
              <w:rPr>
                <w:rFonts w:ascii="宋体" w:hAnsi="宋体"/>
                <w:kern w:val="0"/>
                <w:sz w:val="18"/>
                <w:szCs w:val="18"/>
              </w:rPr>
              <w:t>nm</w:t>
            </w:r>
          </w:p>
        </w:tc>
        <w:tc>
          <w:tcPr>
            <w:tcW w:w="1001" w:type="pct"/>
            <w:vAlign w:val="center"/>
          </w:tcPr>
          <w:p w:rsidR="00F65813" w:rsidRDefault="00EB0B4C">
            <w:pPr>
              <w:keepNext/>
              <w:spacing w:after="0"/>
              <w:jc w:val="center"/>
              <w:rPr>
                <w:rFonts w:ascii="宋体" w:hAnsi="宋体"/>
                <w:kern w:val="0"/>
                <w:sz w:val="18"/>
                <w:szCs w:val="18"/>
              </w:rPr>
            </w:pPr>
            <w:r>
              <w:rPr>
                <w:rFonts w:ascii="宋体" w:hAnsi="宋体"/>
                <w:kern w:val="0"/>
                <w:sz w:val="18"/>
                <w:szCs w:val="18"/>
              </w:rPr>
              <w:t>610</w:t>
            </w:r>
            <w:r>
              <w:rPr>
                <w:rFonts w:ascii="宋体" w:hAnsi="宋体" w:hint="eastAsia"/>
                <w:sz w:val="18"/>
                <w:szCs w:val="18"/>
              </w:rPr>
              <w:t>～</w:t>
            </w:r>
            <w:r>
              <w:rPr>
                <w:rFonts w:ascii="宋体" w:hAnsi="宋体"/>
                <w:kern w:val="0"/>
                <w:sz w:val="18"/>
                <w:szCs w:val="18"/>
              </w:rPr>
              <w:t>700</w:t>
            </w:r>
          </w:p>
        </w:tc>
        <w:tc>
          <w:tcPr>
            <w:tcW w:w="1000" w:type="pct"/>
            <w:vAlign w:val="center"/>
          </w:tcPr>
          <w:p w:rsidR="00F65813" w:rsidRDefault="00EB0B4C">
            <w:pPr>
              <w:keepNext/>
              <w:spacing w:after="0"/>
              <w:jc w:val="center"/>
              <w:rPr>
                <w:rFonts w:ascii="宋体" w:hAnsi="宋体"/>
                <w:kern w:val="0"/>
                <w:sz w:val="18"/>
                <w:szCs w:val="18"/>
              </w:rPr>
            </w:pPr>
            <w:r>
              <w:rPr>
                <w:rFonts w:ascii="宋体" w:hAnsi="宋体"/>
                <w:kern w:val="0"/>
                <w:sz w:val="18"/>
                <w:szCs w:val="18"/>
              </w:rPr>
              <w:t>508</w:t>
            </w:r>
            <w:r>
              <w:rPr>
                <w:rFonts w:ascii="宋体" w:hAnsi="宋体" w:hint="eastAsia"/>
                <w:sz w:val="18"/>
                <w:szCs w:val="18"/>
              </w:rPr>
              <w:t>～</w:t>
            </w:r>
            <w:r>
              <w:rPr>
                <w:rFonts w:ascii="宋体" w:hAnsi="宋体"/>
                <w:kern w:val="0"/>
                <w:sz w:val="18"/>
                <w:szCs w:val="18"/>
              </w:rPr>
              <w:t>550</w:t>
            </w:r>
          </w:p>
        </w:tc>
        <w:tc>
          <w:tcPr>
            <w:tcW w:w="999" w:type="pct"/>
            <w:vAlign w:val="center"/>
          </w:tcPr>
          <w:p w:rsidR="00F65813" w:rsidRDefault="00EB0B4C">
            <w:pPr>
              <w:keepNext/>
              <w:spacing w:after="0"/>
              <w:jc w:val="center"/>
              <w:rPr>
                <w:rFonts w:ascii="宋体" w:hAnsi="宋体"/>
                <w:kern w:val="0"/>
                <w:sz w:val="18"/>
                <w:szCs w:val="18"/>
              </w:rPr>
            </w:pPr>
            <w:r>
              <w:rPr>
                <w:rFonts w:ascii="宋体" w:hAnsi="宋体"/>
                <w:kern w:val="0"/>
                <w:sz w:val="18"/>
                <w:szCs w:val="18"/>
              </w:rPr>
              <w:t>455</w:t>
            </w:r>
            <w:r>
              <w:rPr>
                <w:rFonts w:ascii="宋体" w:hAnsi="宋体" w:hint="eastAsia"/>
                <w:sz w:val="18"/>
                <w:szCs w:val="18"/>
              </w:rPr>
              <w:t>～</w:t>
            </w:r>
            <w:r>
              <w:rPr>
                <w:rFonts w:ascii="宋体" w:hAnsi="宋体"/>
                <w:kern w:val="0"/>
                <w:sz w:val="18"/>
                <w:szCs w:val="18"/>
              </w:rPr>
              <w:t>485</w:t>
            </w:r>
          </w:p>
        </w:tc>
        <w:tc>
          <w:tcPr>
            <w:tcW w:w="999" w:type="pct"/>
            <w:vAlign w:val="center"/>
          </w:tcPr>
          <w:p w:rsidR="00F65813" w:rsidRDefault="00EB0B4C">
            <w:pPr>
              <w:keepNext/>
              <w:spacing w:after="0"/>
              <w:jc w:val="center"/>
              <w:rPr>
                <w:rFonts w:ascii="宋体" w:hAnsi="宋体"/>
                <w:kern w:val="0"/>
                <w:sz w:val="18"/>
                <w:szCs w:val="18"/>
              </w:rPr>
            </w:pPr>
            <w:r>
              <w:rPr>
                <w:rFonts w:ascii="宋体" w:hAnsi="宋体"/>
                <w:kern w:val="0"/>
                <w:sz w:val="18"/>
                <w:szCs w:val="18"/>
              </w:rPr>
              <w:t>585</w:t>
            </w:r>
            <w:r>
              <w:rPr>
                <w:rFonts w:ascii="宋体" w:hAnsi="宋体" w:hint="eastAsia"/>
                <w:sz w:val="18"/>
                <w:szCs w:val="18"/>
              </w:rPr>
              <w:t>～</w:t>
            </w:r>
            <w:r>
              <w:rPr>
                <w:rFonts w:ascii="宋体" w:hAnsi="宋体"/>
                <w:kern w:val="0"/>
                <w:sz w:val="18"/>
                <w:szCs w:val="18"/>
              </w:rPr>
              <w:t>600</w:t>
            </w:r>
          </w:p>
        </w:tc>
      </w:tr>
      <w:tr w:rsidR="00F65813">
        <w:trPr>
          <w:trHeight w:val="454"/>
          <w:jc w:val="center"/>
        </w:trPr>
        <w:tc>
          <w:tcPr>
            <w:tcW w:w="1001" w:type="pct"/>
            <w:vAlign w:val="center"/>
          </w:tcPr>
          <w:p w:rsidR="00F65813" w:rsidRDefault="00EB0B4C">
            <w:pPr>
              <w:keepNext/>
              <w:spacing w:after="0"/>
              <w:jc w:val="center"/>
              <w:rPr>
                <w:rFonts w:ascii="宋体" w:hAnsi="宋体"/>
                <w:kern w:val="0"/>
                <w:sz w:val="18"/>
                <w:szCs w:val="18"/>
              </w:rPr>
            </w:pPr>
            <w:r>
              <w:rPr>
                <w:rFonts w:ascii="宋体" w:hAnsi="宋体" w:hint="eastAsia"/>
                <w:kern w:val="0"/>
                <w:sz w:val="18"/>
                <w:szCs w:val="18"/>
              </w:rPr>
              <w:t>兴奋纯度限值</w:t>
            </w:r>
          </w:p>
          <w:p w:rsidR="00F65813" w:rsidRDefault="00EB0B4C">
            <w:pPr>
              <w:keepNext/>
              <w:spacing w:after="0"/>
              <w:jc w:val="center"/>
              <w:rPr>
                <w:rFonts w:ascii="宋体" w:hAnsi="宋体"/>
                <w:kern w:val="0"/>
                <w:sz w:val="18"/>
                <w:szCs w:val="18"/>
              </w:rPr>
            </w:pPr>
            <w:r>
              <w:rPr>
                <w:rFonts w:ascii="宋体" w:hAnsi="宋体"/>
                <w:kern w:val="0"/>
                <w:sz w:val="18"/>
                <w:szCs w:val="18"/>
              </w:rPr>
              <w:t>%</w:t>
            </w:r>
          </w:p>
        </w:tc>
        <w:tc>
          <w:tcPr>
            <w:tcW w:w="1001" w:type="pct"/>
            <w:vAlign w:val="center"/>
          </w:tcPr>
          <w:p w:rsidR="00F65813" w:rsidRDefault="00EB0B4C">
            <w:pPr>
              <w:keepNext/>
              <w:spacing w:after="0"/>
              <w:jc w:val="center"/>
              <w:rPr>
                <w:rFonts w:ascii="宋体" w:hAnsi="宋体"/>
                <w:kern w:val="0"/>
                <w:sz w:val="18"/>
                <w:szCs w:val="18"/>
              </w:rPr>
            </w:pPr>
            <w:r>
              <w:rPr>
                <w:rFonts w:ascii="宋体" w:hAnsi="宋体" w:hint="eastAsia"/>
                <w:kern w:val="0"/>
                <w:sz w:val="18"/>
                <w:szCs w:val="18"/>
              </w:rPr>
              <w:t>≥</w:t>
            </w:r>
            <w:r>
              <w:rPr>
                <w:rFonts w:ascii="宋体" w:hAnsi="宋体"/>
                <w:kern w:val="0"/>
                <w:sz w:val="18"/>
                <w:szCs w:val="18"/>
              </w:rPr>
              <w:t>94</w:t>
            </w:r>
          </w:p>
        </w:tc>
        <w:tc>
          <w:tcPr>
            <w:tcW w:w="1000" w:type="pct"/>
            <w:vAlign w:val="center"/>
          </w:tcPr>
          <w:p w:rsidR="00F65813" w:rsidRDefault="00EB0B4C">
            <w:pPr>
              <w:keepNext/>
              <w:spacing w:after="0"/>
              <w:jc w:val="center"/>
              <w:rPr>
                <w:rFonts w:ascii="宋体" w:hAnsi="宋体"/>
                <w:kern w:val="0"/>
                <w:sz w:val="18"/>
                <w:szCs w:val="18"/>
              </w:rPr>
            </w:pPr>
            <w:r>
              <w:rPr>
                <w:rFonts w:ascii="宋体" w:hAnsi="宋体" w:hint="eastAsia"/>
                <w:kern w:val="0"/>
                <w:sz w:val="18"/>
                <w:szCs w:val="18"/>
              </w:rPr>
              <w:t>≥</w:t>
            </w:r>
            <w:r>
              <w:rPr>
                <w:rFonts w:ascii="宋体" w:hAnsi="宋体"/>
                <w:kern w:val="0"/>
                <w:sz w:val="18"/>
                <w:szCs w:val="18"/>
              </w:rPr>
              <w:t>72</w:t>
            </w:r>
          </w:p>
        </w:tc>
        <w:tc>
          <w:tcPr>
            <w:tcW w:w="999" w:type="pct"/>
            <w:vAlign w:val="center"/>
          </w:tcPr>
          <w:p w:rsidR="00F65813" w:rsidRDefault="00EB0B4C">
            <w:pPr>
              <w:keepNext/>
              <w:spacing w:after="0"/>
              <w:jc w:val="center"/>
              <w:rPr>
                <w:rFonts w:ascii="宋体" w:hAnsi="宋体"/>
                <w:kern w:val="0"/>
                <w:sz w:val="18"/>
                <w:szCs w:val="18"/>
              </w:rPr>
            </w:pPr>
            <w:r>
              <w:rPr>
                <w:rFonts w:ascii="宋体" w:hAnsi="宋体" w:hint="eastAsia"/>
                <w:kern w:val="0"/>
                <w:sz w:val="18"/>
                <w:szCs w:val="18"/>
              </w:rPr>
              <w:t>≥</w:t>
            </w:r>
            <w:r>
              <w:rPr>
                <w:rFonts w:ascii="宋体" w:hAnsi="宋体"/>
                <w:kern w:val="0"/>
                <w:sz w:val="18"/>
                <w:szCs w:val="18"/>
              </w:rPr>
              <w:t>90</w:t>
            </w:r>
          </w:p>
        </w:tc>
        <w:tc>
          <w:tcPr>
            <w:tcW w:w="999" w:type="pct"/>
            <w:vAlign w:val="center"/>
          </w:tcPr>
          <w:p w:rsidR="00F65813" w:rsidRDefault="00EB0B4C">
            <w:pPr>
              <w:keepNext/>
              <w:spacing w:after="0"/>
              <w:jc w:val="center"/>
              <w:rPr>
                <w:rFonts w:ascii="宋体" w:hAnsi="宋体"/>
                <w:kern w:val="0"/>
                <w:sz w:val="18"/>
                <w:szCs w:val="18"/>
              </w:rPr>
            </w:pPr>
            <w:r>
              <w:rPr>
                <w:rFonts w:ascii="宋体" w:hAnsi="宋体" w:hint="eastAsia"/>
                <w:kern w:val="0"/>
                <w:sz w:val="18"/>
                <w:szCs w:val="18"/>
              </w:rPr>
              <w:t>≥</w:t>
            </w:r>
            <w:r>
              <w:rPr>
                <w:rFonts w:ascii="宋体" w:hAnsi="宋体"/>
                <w:kern w:val="0"/>
                <w:sz w:val="18"/>
                <w:szCs w:val="18"/>
              </w:rPr>
              <w:t>93</w:t>
            </w:r>
          </w:p>
        </w:tc>
      </w:tr>
    </w:tbl>
    <w:p w:rsidR="00F65813" w:rsidRDefault="00F65813">
      <w:pPr>
        <w:spacing w:after="0"/>
        <w:jc w:val="center"/>
        <w:rPr>
          <w:kern w:val="0"/>
          <w:sz w:val="18"/>
          <w:szCs w:val="18"/>
        </w:rPr>
      </w:pPr>
    </w:p>
    <w:p w:rsidR="00F65813" w:rsidRDefault="00EB0B4C">
      <w:pPr>
        <w:widowControl/>
        <w:spacing w:before="50" w:after="50"/>
        <w:outlineLvl w:val="3"/>
        <w:rPr>
          <w:rFonts w:asciiTheme="minorEastAsia" w:eastAsiaTheme="minorEastAsia" w:hAnsiTheme="minorEastAsia" w:cs="黑体"/>
        </w:rPr>
      </w:pPr>
      <w:r>
        <w:rPr>
          <w:rFonts w:ascii="黑体" w:eastAsia="黑体" w:hAnsi="黑体"/>
        </w:rPr>
        <w:t xml:space="preserve">6.5.4 </w:t>
      </w:r>
      <w:r>
        <w:rPr>
          <w:rFonts w:asciiTheme="minorEastAsia" w:eastAsiaTheme="minorEastAsia" w:hAnsiTheme="minorEastAsia" w:cs="黑体" w:hint="eastAsia"/>
        </w:rPr>
        <w:t>白光</w:t>
      </w:r>
      <w:r>
        <w:rPr>
          <w:rFonts w:asciiTheme="minorEastAsia" w:eastAsiaTheme="minorEastAsia" w:hAnsiTheme="minorEastAsia" w:cs="黑体"/>
        </w:rPr>
        <w:t>LED</w:t>
      </w:r>
      <w:r>
        <w:rPr>
          <w:rFonts w:asciiTheme="minorEastAsia" w:eastAsiaTheme="minorEastAsia" w:hAnsiTheme="minorEastAsia" w:cs="黑体" w:hint="eastAsia"/>
        </w:rPr>
        <w:t>灯具，色</w:t>
      </w:r>
      <w:r w:rsidR="00F65813" w:rsidRPr="00F65813">
        <w:rPr>
          <w:rFonts w:asciiTheme="minorEastAsia" w:eastAsiaTheme="minorEastAsia" w:hAnsiTheme="minorEastAsia" w:cs="黑体" w:hint="eastAsia"/>
        </w:rPr>
        <w:t>温在</w:t>
      </w:r>
      <w:r w:rsidR="00F65813" w:rsidRPr="00F65813">
        <w:rPr>
          <w:rFonts w:asciiTheme="minorEastAsia" w:eastAsiaTheme="minorEastAsia" w:hAnsiTheme="minorEastAsia" w:cs="黑体"/>
        </w:rPr>
        <w:t>2700 K</w:t>
      </w:r>
      <w:r w:rsidR="00F65813" w:rsidRPr="00F65813">
        <w:rPr>
          <w:rFonts w:asciiTheme="minorEastAsia" w:eastAsiaTheme="minorEastAsia" w:hAnsiTheme="minorEastAsia" w:hint="eastAsia"/>
        </w:rPr>
        <w:t>～</w:t>
      </w:r>
      <w:r w:rsidR="00F65813" w:rsidRPr="00F65813">
        <w:rPr>
          <w:rFonts w:asciiTheme="minorEastAsia" w:eastAsiaTheme="minorEastAsia" w:hAnsiTheme="minorEastAsia" w:cs="黑体"/>
        </w:rPr>
        <w:t>6500 K</w:t>
      </w:r>
      <w:r w:rsidR="00F65813" w:rsidRPr="00F65813">
        <w:rPr>
          <w:rFonts w:asciiTheme="minorEastAsia" w:eastAsiaTheme="minorEastAsia" w:hAnsiTheme="minorEastAsia" w:cs="黑体" w:hint="eastAsia"/>
        </w:rPr>
        <w:t>区间内时的光效应不小于</w:t>
      </w:r>
      <w:r w:rsidR="00F65813" w:rsidRPr="00F65813">
        <w:rPr>
          <w:rFonts w:asciiTheme="minorEastAsia" w:eastAsiaTheme="minorEastAsia" w:hAnsiTheme="minorEastAsia" w:cs="黑体"/>
        </w:rPr>
        <w:t>70 lm/W</w:t>
      </w:r>
      <w:r w:rsidR="00F65813" w:rsidRPr="00F65813">
        <w:rPr>
          <w:rFonts w:asciiTheme="minorEastAsia" w:eastAsiaTheme="minorEastAsia" w:hAnsiTheme="minorEastAsia" w:cs="黑体" w:hint="eastAsia"/>
        </w:rPr>
        <w:t>；</w:t>
      </w:r>
      <w:r w:rsidR="00F65813" w:rsidRPr="00F65813">
        <w:rPr>
          <w:rFonts w:asciiTheme="minorEastAsia" w:eastAsiaTheme="minorEastAsia" w:hAnsiTheme="minorEastAsia" w:cs="黑体"/>
        </w:rPr>
        <w:t>RGB</w:t>
      </w:r>
      <w:r w:rsidR="00F65813" w:rsidRPr="00F65813">
        <w:rPr>
          <w:rFonts w:asciiTheme="minorEastAsia" w:eastAsiaTheme="minorEastAsia" w:hAnsiTheme="minorEastAsia" w:cs="黑体" w:hint="eastAsia"/>
        </w:rPr>
        <w:t>、</w:t>
      </w:r>
      <w:r w:rsidR="00F65813" w:rsidRPr="00F65813">
        <w:rPr>
          <w:rFonts w:asciiTheme="minorEastAsia" w:eastAsiaTheme="minorEastAsia" w:hAnsiTheme="minorEastAsia" w:cs="黑体"/>
        </w:rPr>
        <w:t>RGBW</w:t>
      </w:r>
      <w:r w:rsidR="00F65813" w:rsidRPr="00F65813">
        <w:rPr>
          <w:rFonts w:asciiTheme="minorEastAsia" w:eastAsiaTheme="minorEastAsia" w:hAnsiTheme="minorEastAsia" w:cs="黑体" w:hint="eastAsia"/>
        </w:rPr>
        <w:t>灯具光效应不小于</w:t>
      </w:r>
      <w:r w:rsidR="00F65813" w:rsidRPr="00F65813">
        <w:rPr>
          <w:rFonts w:asciiTheme="minorEastAsia" w:eastAsiaTheme="minorEastAsia" w:hAnsiTheme="minorEastAsia" w:cs="黑体"/>
        </w:rPr>
        <w:t>40 lm/W</w:t>
      </w:r>
      <w:r w:rsidR="00F65813" w:rsidRPr="00F65813">
        <w:rPr>
          <w:rFonts w:asciiTheme="minorEastAsia" w:eastAsiaTheme="minorEastAsia" w:hAnsiTheme="minorEastAsia" w:cs="黑体" w:hint="eastAsia"/>
        </w:rPr>
        <w:t>。采用小功率</w:t>
      </w:r>
      <w:r w:rsidR="00F65813" w:rsidRPr="00F65813">
        <w:rPr>
          <w:rFonts w:asciiTheme="minorEastAsia" w:eastAsiaTheme="minorEastAsia" w:hAnsiTheme="minorEastAsia" w:cs="黑体"/>
        </w:rPr>
        <w:t>LED</w:t>
      </w:r>
      <w:r w:rsidR="00F65813" w:rsidRPr="00F65813">
        <w:rPr>
          <w:rFonts w:asciiTheme="minorEastAsia" w:eastAsiaTheme="minorEastAsia" w:hAnsiTheme="minorEastAsia" w:cs="黑体" w:hint="eastAsia"/>
        </w:rPr>
        <w:t>封装器件（单颗≤</w:t>
      </w:r>
      <w:r w:rsidR="00F65813" w:rsidRPr="00F65813">
        <w:rPr>
          <w:rFonts w:asciiTheme="minorEastAsia" w:eastAsiaTheme="minorEastAsia" w:hAnsiTheme="minorEastAsia" w:cs="黑体"/>
        </w:rPr>
        <w:t>0.5 W</w:t>
      </w:r>
      <w:r w:rsidR="00F65813" w:rsidRPr="00F65813">
        <w:rPr>
          <w:rFonts w:asciiTheme="minorEastAsia" w:eastAsiaTheme="minorEastAsia" w:hAnsiTheme="minorEastAsia" w:cs="黑体" w:hint="eastAsia"/>
        </w:rPr>
        <w:t>）的灯具色温在</w:t>
      </w:r>
      <w:r w:rsidR="00F65813" w:rsidRPr="00F65813">
        <w:rPr>
          <w:rFonts w:asciiTheme="minorEastAsia" w:eastAsiaTheme="minorEastAsia" w:hAnsiTheme="minorEastAsia" w:cs="黑体"/>
        </w:rPr>
        <w:t>2700 K</w:t>
      </w:r>
      <w:r w:rsidR="00F65813" w:rsidRPr="00F65813">
        <w:rPr>
          <w:rFonts w:asciiTheme="minorEastAsia" w:eastAsiaTheme="minorEastAsia" w:hAnsiTheme="minorEastAsia" w:hint="eastAsia"/>
        </w:rPr>
        <w:t>～</w:t>
      </w:r>
      <w:r w:rsidR="00F65813" w:rsidRPr="00F65813">
        <w:rPr>
          <w:rFonts w:asciiTheme="minorEastAsia" w:eastAsiaTheme="minorEastAsia" w:hAnsiTheme="minorEastAsia" w:cs="黑体"/>
        </w:rPr>
        <w:t>6500 K</w:t>
      </w:r>
      <w:r w:rsidR="00F65813" w:rsidRPr="00F65813">
        <w:rPr>
          <w:rFonts w:asciiTheme="minorEastAsia" w:eastAsiaTheme="minorEastAsia" w:hAnsiTheme="minorEastAsia" w:cs="黑体" w:hint="eastAsia"/>
        </w:rPr>
        <w:t>区间内时的光效应不小于</w:t>
      </w:r>
      <w:r w:rsidR="00F65813" w:rsidRPr="00F65813">
        <w:rPr>
          <w:rFonts w:asciiTheme="minorEastAsia" w:eastAsiaTheme="minorEastAsia" w:hAnsiTheme="minorEastAsia" w:cs="黑体"/>
        </w:rPr>
        <w:t>50 lm/W</w:t>
      </w:r>
      <w:r w:rsidR="00F65813" w:rsidRPr="00F65813">
        <w:rPr>
          <w:rFonts w:asciiTheme="minorEastAsia" w:eastAsiaTheme="minorEastAsia" w:hAnsiTheme="minorEastAsia" w:cs="黑体" w:hint="eastAsia"/>
        </w:rPr>
        <w:t>；</w:t>
      </w:r>
      <w:r w:rsidR="00F65813" w:rsidRPr="00F65813">
        <w:rPr>
          <w:rFonts w:asciiTheme="minorEastAsia" w:eastAsiaTheme="minorEastAsia" w:hAnsiTheme="minorEastAsia" w:cs="黑体"/>
        </w:rPr>
        <w:t>RGB</w:t>
      </w:r>
      <w:r w:rsidR="00F65813" w:rsidRPr="00F65813">
        <w:rPr>
          <w:rFonts w:asciiTheme="minorEastAsia" w:eastAsiaTheme="minorEastAsia" w:hAnsiTheme="minorEastAsia" w:cs="黑体" w:hint="eastAsia"/>
        </w:rPr>
        <w:t>、</w:t>
      </w:r>
      <w:r w:rsidR="00F65813" w:rsidRPr="00F65813">
        <w:rPr>
          <w:rFonts w:asciiTheme="minorEastAsia" w:eastAsiaTheme="minorEastAsia" w:hAnsiTheme="minorEastAsia" w:cs="黑体"/>
        </w:rPr>
        <w:t>RGBW</w:t>
      </w:r>
      <w:r w:rsidR="00F65813" w:rsidRPr="00F65813">
        <w:rPr>
          <w:rFonts w:asciiTheme="minorEastAsia" w:eastAsiaTheme="minorEastAsia" w:hAnsiTheme="minorEastAsia" w:cs="黑体" w:hint="eastAsia"/>
        </w:rPr>
        <w:t>灯具光效应不小于</w:t>
      </w:r>
      <w:r w:rsidR="00F65813" w:rsidRPr="00F65813">
        <w:rPr>
          <w:rFonts w:asciiTheme="minorEastAsia" w:eastAsiaTheme="minorEastAsia" w:hAnsiTheme="minorEastAsia" w:cs="黑体"/>
        </w:rPr>
        <w:t>30 lm/W</w:t>
      </w:r>
      <w:r w:rsidR="00F65813" w:rsidRPr="00F65813">
        <w:rPr>
          <w:rFonts w:asciiTheme="minorEastAsia" w:eastAsiaTheme="minorEastAsia" w:hAnsiTheme="minorEastAsia" w:cs="黑体" w:hint="eastAsia"/>
        </w:rPr>
        <w:t>。</w:t>
      </w:r>
    </w:p>
    <w:p w:rsidR="00F65813" w:rsidRDefault="00EB0B4C">
      <w:pPr>
        <w:pStyle w:val="affe"/>
        <w:spacing w:after="0"/>
        <w:ind w:firstLine="360"/>
        <w:jc w:val="left"/>
        <w:outlineLvl w:val="3"/>
        <w:rPr>
          <w:rFonts w:asciiTheme="minorEastAsia" w:eastAsiaTheme="minorEastAsia" w:hAnsiTheme="minorEastAsia" w:cs="Times New Roman"/>
        </w:rPr>
      </w:pPr>
      <w:r>
        <w:rPr>
          <w:rFonts w:asciiTheme="minorEastAsia" w:eastAsiaTheme="minorEastAsia" w:hAnsiTheme="minorEastAsia" w:cs="Times New Roman" w:hint="eastAsia"/>
          <w:sz w:val="18"/>
          <w:szCs w:val="18"/>
        </w:rPr>
        <w:t>注：</w:t>
      </w:r>
      <w:r>
        <w:rPr>
          <w:rFonts w:asciiTheme="minorEastAsia" w:eastAsiaTheme="minorEastAsia" w:hAnsiTheme="minorEastAsia" w:cs="Times New Roman"/>
          <w:sz w:val="18"/>
          <w:szCs w:val="18"/>
        </w:rPr>
        <w:t>RGB</w:t>
      </w:r>
      <w:r>
        <w:rPr>
          <w:rFonts w:asciiTheme="minorEastAsia" w:eastAsiaTheme="minorEastAsia" w:hAnsiTheme="minorEastAsia" w:cs="Times New Roman" w:hint="eastAsia"/>
          <w:sz w:val="18"/>
          <w:szCs w:val="18"/>
        </w:rPr>
        <w:t>、</w:t>
      </w:r>
      <w:r>
        <w:rPr>
          <w:rFonts w:asciiTheme="minorEastAsia" w:eastAsiaTheme="minorEastAsia" w:hAnsiTheme="minorEastAsia" w:cs="Times New Roman"/>
          <w:sz w:val="18"/>
          <w:szCs w:val="18"/>
        </w:rPr>
        <w:t>RGBW</w:t>
      </w:r>
      <w:r>
        <w:rPr>
          <w:rFonts w:asciiTheme="minorEastAsia" w:eastAsiaTheme="minorEastAsia" w:hAnsiTheme="minorEastAsia" w:cs="Times New Roman" w:hint="eastAsia"/>
          <w:sz w:val="18"/>
          <w:szCs w:val="18"/>
        </w:rPr>
        <w:t>灯具的光效测试在满功率状态下进行。</w:t>
      </w:r>
    </w:p>
    <w:p w:rsidR="00F65813" w:rsidRDefault="00EB0B4C">
      <w:pPr>
        <w:pStyle w:val="a4"/>
        <w:numPr>
          <w:ilvl w:val="0"/>
          <w:numId w:val="0"/>
        </w:numPr>
        <w:spacing w:before="156" w:after="156"/>
        <w:rPr>
          <w:rFonts w:ascii="Times New Roman" w:cs="Times New Roman"/>
        </w:rPr>
      </w:pPr>
      <w:bookmarkStart w:id="196" w:name="_Toc71206575"/>
      <w:r>
        <w:rPr>
          <w:rFonts w:hAnsi="黑体"/>
        </w:rPr>
        <w:t xml:space="preserve">6.6  </w:t>
      </w:r>
      <w:r>
        <w:rPr>
          <w:rFonts w:ascii="Times New Roman" w:cs="Times New Roman" w:hint="eastAsia"/>
        </w:rPr>
        <w:t>机械性能要求</w:t>
      </w:r>
      <w:bookmarkEnd w:id="196"/>
    </w:p>
    <w:p w:rsidR="00F65813" w:rsidRDefault="00EB0B4C">
      <w:pPr>
        <w:widowControl/>
        <w:spacing w:before="50" w:after="50"/>
        <w:jc w:val="left"/>
        <w:outlineLvl w:val="3"/>
        <w:rPr>
          <w:rFonts w:ascii="宋体" w:hAnsi="宋体" w:cs="黑体"/>
        </w:rPr>
      </w:pPr>
      <w:r>
        <w:rPr>
          <w:rFonts w:ascii="黑体" w:eastAsia="黑体" w:hAnsi="黑体"/>
        </w:rPr>
        <w:t xml:space="preserve">6.6.1 </w:t>
      </w:r>
      <w:r>
        <w:rPr>
          <w:rFonts w:ascii="宋体" w:hAnsi="宋体" w:cs="黑体" w:hint="eastAsia"/>
        </w:rPr>
        <w:t>灯具的外壳抗外界机械冲击性能应至少达到</w:t>
      </w:r>
      <w:r>
        <w:rPr>
          <w:rFonts w:ascii="宋体" w:hAnsi="宋体" w:cs="黑体"/>
        </w:rPr>
        <w:t>IK06</w:t>
      </w:r>
      <w:r>
        <w:rPr>
          <w:rFonts w:ascii="宋体" w:hAnsi="宋体" w:cs="黑体" w:hint="eastAsia"/>
        </w:rPr>
        <w:t>。</w:t>
      </w:r>
    </w:p>
    <w:p w:rsidR="00F65813" w:rsidRDefault="00EB0B4C">
      <w:pPr>
        <w:widowControl/>
        <w:spacing w:before="50" w:after="50"/>
        <w:jc w:val="left"/>
        <w:outlineLvl w:val="3"/>
        <w:rPr>
          <w:rFonts w:ascii="宋体" w:hAnsi="宋体" w:cs="黑体"/>
        </w:rPr>
      </w:pPr>
      <w:r>
        <w:rPr>
          <w:rFonts w:ascii="黑体" w:eastAsia="黑体" w:hAnsi="黑体"/>
        </w:rPr>
        <w:t xml:space="preserve">6.6.2 </w:t>
      </w:r>
      <w:r>
        <w:rPr>
          <w:rFonts w:ascii="宋体" w:hAnsi="宋体" w:cs="黑体" w:hint="eastAsia"/>
        </w:rPr>
        <w:t>若灯具内的光源位置是可调节的，应在外壳上有明显的符号或调节器，调节后应有锁紧装置。</w:t>
      </w:r>
    </w:p>
    <w:p w:rsidR="00F65813" w:rsidRDefault="00EB0B4C">
      <w:pPr>
        <w:widowControl/>
        <w:spacing w:before="50" w:after="50"/>
        <w:outlineLvl w:val="3"/>
        <w:rPr>
          <w:rFonts w:ascii="宋体" w:hAnsi="宋体" w:cs="黑体"/>
        </w:rPr>
      </w:pPr>
      <w:r>
        <w:rPr>
          <w:rFonts w:ascii="黑体" w:eastAsia="黑体" w:hAnsi="黑体"/>
        </w:rPr>
        <w:t xml:space="preserve">6.6.3 </w:t>
      </w:r>
      <w:r>
        <w:rPr>
          <w:rFonts w:ascii="宋体" w:hAnsi="宋体" w:cs="黑体" w:hint="eastAsia"/>
        </w:rPr>
        <w:t>设置在高架道路、桥梁和隧道的灯具应能耐受振动，按</w:t>
      </w:r>
      <w:r>
        <w:rPr>
          <w:rFonts w:ascii="宋体" w:hAnsi="宋体" w:cs="黑体"/>
        </w:rPr>
        <w:t xml:space="preserve"> GB/T 33721―2017</w:t>
      </w:r>
      <w:r>
        <w:rPr>
          <w:rFonts w:ascii="宋体" w:hAnsi="宋体" w:cs="黑体" w:hint="eastAsia"/>
        </w:rPr>
        <w:t>的方法，应在三个互相垂直的轴（</w:t>
      </w:r>
      <w:r>
        <w:rPr>
          <w:rFonts w:ascii="宋体" w:hAnsi="宋体" w:cs="黑体"/>
        </w:rPr>
        <w:t>x</w:t>
      </w:r>
      <w:r>
        <w:rPr>
          <w:rFonts w:ascii="宋体" w:hAnsi="宋体" w:cs="黑体" w:hint="eastAsia"/>
        </w:rPr>
        <w:t>、</w:t>
      </w:r>
      <w:r>
        <w:rPr>
          <w:rFonts w:ascii="宋体" w:hAnsi="宋体" w:cs="黑体"/>
        </w:rPr>
        <w:t>y</w:t>
      </w:r>
      <w:r>
        <w:rPr>
          <w:rFonts w:ascii="宋体" w:hAnsi="宋体" w:cs="黑体" w:hint="eastAsia"/>
        </w:rPr>
        <w:t>和</w:t>
      </w:r>
      <w:r>
        <w:rPr>
          <w:rFonts w:ascii="宋体" w:hAnsi="宋体" w:cs="黑体"/>
        </w:rPr>
        <w:t>z</w:t>
      </w:r>
      <w:r>
        <w:rPr>
          <w:rFonts w:ascii="宋体" w:hAnsi="宋体" w:cs="黑体" w:hint="eastAsia"/>
        </w:rPr>
        <w:t>）上用频率：</w:t>
      </w:r>
      <w:r>
        <w:rPr>
          <w:rFonts w:ascii="宋体" w:hAnsi="宋体" w:cs="黑体"/>
        </w:rPr>
        <w:t>5 Hz</w:t>
      </w:r>
      <w:r>
        <w:rPr>
          <w:rFonts w:ascii="宋体" w:hAnsi="宋体" w:cs="黑体" w:hint="eastAsia"/>
        </w:rPr>
        <w:t>至</w:t>
      </w:r>
      <w:r>
        <w:rPr>
          <w:rFonts w:ascii="宋体" w:hAnsi="宋体" w:cs="黑体"/>
        </w:rPr>
        <w:t>30 Hz</w:t>
      </w:r>
      <w:r>
        <w:rPr>
          <w:rFonts w:ascii="宋体" w:hAnsi="宋体" w:cs="黑体" w:hint="eastAsia"/>
        </w:rPr>
        <w:t>，寻找并确定基本共振频率。灯具在每个平面上在共振频率上按</w:t>
      </w:r>
      <w:r>
        <w:rPr>
          <w:rFonts w:ascii="宋体" w:hAnsi="宋体" w:cs="黑体"/>
        </w:rPr>
        <w:t>3.0 g</w:t>
      </w:r>
      <w:r>
        <w:rPr>
          <w:rFonts w:ascii="宋体" w:hAnsi="宋体" w:cs="黑体" w:hint="eastAsia"/>
        </w:rPr>
        <w:t>加速度各进行</w:t>
      </w:r>
      <w:r>
        <w:rPr>
          <w:rFonts w:ascii="宋体" w:hAnsi="宋体" w:cs="黑体"/>
        </w:rPr>
        <w:t>100 000</w:t>
      </w:r>
      <w:r>
        <w:rPr>
          <w:rFonts w:ascii="宋体" w:hAnsi="宋体" w:cs="黑体" w:hint="eastAsia"/>
        </w:rPr>
        <w:t>次振动的试验。试验后，灯具的外壳不应破坏、电气间隙不应减小，灯具的所有部件不能松动，安装支架不能永久变形，且灯具应能正常点亮。</w:t>
      </w:r>
    </w:p>
    <w:p w:rsidR="00F65813" w:rsidRDefault="00EB0B4C">
      <w:pPr>
        <w:widowControl/>
        <w:spacing w:before="50" w:after="50"/>
        <w:jc w:val="left"/>
        <w:outlineLvl w:val="3"/>
        <w:rPr>
          <w:rFonts w:ascii="宋体" w:hAnsi="宋体" w:cs="黑体"/>
        </w:rPr>
      </w:pPr>
      <w:r>
        <w:rPr>
          <w:rFonts w:ascii="黑体" w:eastAsia="黑体" w:hAnsi="黑体"/>
        </w:rPr>
        <w:t xml:space="preserve">6.6.4 </w:t>
      </w:r>
      <w:r>
        <w:rPr>
          <w:rFonts w:ascii="宋体" w:hAnsi="宋体" w:cs="黑体" w:hint="eastAsia"/>
        </w:rPr>
        <w:t>用于室外地面上方的投光灯具应能耐受大风，应符合</w:t>
      </w:r>
      <w:r>
        <w:rPr>
          <w:rFonts w:ascii="宋体" w:hAnsi="宋体" w:cs="黑体"/>
        </w:rPr>
        <w:t>GB 7000.7—2005</w:t>
      </w:r>
      <w:r>
        <w:rPr>
          <w:rFonts w:ascii="宋体" w:hAnsi="宋体" w:cs="黑体" w:hint="eastAsia"/>
        </w:rPr>
        <w:t>中</w:t>
      </w:r>
      <w:r>
        <w:rPr>
          <w:rFonts w:ascii="宋体" w:hAnsi="宋体" w:cs="黑体"/>
        </w:rPr>
        <w:t>6.5</w:t>
      </w:r>
      <w:r>
        <w:rPr>
          <w:rFonts w:ascii="宋体" w:hAnsi="宋体" w:cs="黑体" w:hint="eastAsia"/>
        </w:rPr>
        <w:t>条的要求。</w:t>
      </w:r>
      <w:bookmarkStart w:id="197" w:name="_Toc48571195"/>
      <w:bookmarkStart w:id="198" w:name="_Toc46216016"/>
      <w:bookmarkEnd w:id="187"/>
      <w:bookmarkEnd w:id="188"/>
    </w:p>
    <w:p w:rsidR="00F65813" w:rsidRDefault="00EB0B4C">
      <w:pPr>
        <w:pStyle w:val="a3"/>
        <w:numPr>
          <w:ilvl w:val="0"/>
          <w:numId w:val="0"/>
        </w:numPr>
        <w:spacing w:before="312" w:after="312"/>
      </w:pPr>
      <w:bookmarkStart w:id="199" w:name="_Toc57193359"/>
      <w:bookmarkStart w:id="200" w:name="_Toc71206576"/>
      <w:bookmarkStart w:id="201" w:name="_Hlk53753556"/>
      <w:bookmarkStart w:id="202" w:name="_Toc48571196"/>
      <w:bookmarkEnd w:id="197"/>
      <w:bookmarkEnd w:id="198"/>
      <w:r>
        <w:rPr>
          <w:rFonts w:ascii="Times New Roman" w:cs="Times New Roman"/>
        </w:rPr>
        <w:t xml:space="preserve">7   </w:t>
      </w:r>
      <w:r>
        <w:rPr>
          <w:rFonts w:hint="eastAsia"/>
        </w:rPr>
        <w:t>供配电</w:t>
      </w:r>
      <w:bookmarkEnd w:id="199"/>
      <w:bookmarkEnd w:id="200"/>
    </w:p>
    <w:p w:rsidR="00F65813" w:rsidRDefault="00EB0B4C">
      <w:pPr>
        <w:pStyle w:val="a4"/>
        <w:numPr>
          <w:ilvl w:val="0"/>
          <w:numId w:val="0"/>
        </w:numPr>
        <w:spacing w:before="156" w:after="156"/>
        <w:rPr>
          <w:rFonts w:ascii="Times New Roman" w:cs="Times New Roman"/>
        </w:rPr>
      </w:pPr>
      <w:r>
        <w:rPr>
          <w:rFonts w:hAnsi="黑体"/>
        </w:rPr>
        <w:t xml:space="preserve">7.1 </w:t>
      </w:r>
      <w:r>
        <w:rPr>
          <w:rFonts w:ascii="Times New Roman" w:cs="Times New Roman" w:hint="eastAsia"/>
        </w:rPr>
        <w:t>一般要求</w:t>
      </w:r>
    </w:p>
    <w:p w:rsidR="00F65813" w:rsidRDefault="00EB0B4C">
      <w:pPr>
        <w:pStyle w:val="affe"/>
        <w:spacing w:after="0"/>
        <w:ind w:firstLine="420"/>
      </w:pPr>
      <w:r>
        <w:rPr>
          <w:rFonts w:hint="eastAsia"/>
        </w:rPr>
        <w:t>应根据用电容量、工程特点和区域供电条件，合理确定供配电系统形式，做到人身安全保障、供电可靠、技术先进和经济合理。</w:t>
      </w:r>
    </w:p>
    <w:p w:rsidR="00F65813" w:rsidRDefault="00EB0B4C">
      <w:pPr>
        <w:pStyle w:val="a4"/>
        <w:numPr>
          <w:ilvl w:val="0"/>
          <w:numId w:val="0"/>
        </w:numPr>
        <w:spacing w:before="156" w:after="156"/>
        <w:rPr>
          <w:rFonts w:ascii="Times New Roman" w:cs="Times New Roman"/>
        </w:rPr>
      </w:pPr>
      <w:bookmarkStart w:id="203" w:name="_Toc57193360"/>
      <w:bookmarkStart w:id="204" w:name="_Toc71206577"/>
      <w:r>
        <w:rPr>
          <w:rFonts w:hAnsi="黑体"/>
        </w:rPr>
        <w:t xml:space="preserve">7.2 </w:t>
      </w:r>
      <w:r>
        <w:rPr>
          <w:rFonts w:ascii="Times New Roman" w:cs="Times New Roman" w:hint="eastAsia"/>
        </w:rPr>
        <w:t>供配电系统</w:t>
      </w:r>
      <w:bookmarkEnd w:id="203"/>
      <w:bookmarkEnd w:id="204"/>
    </w:p>
    <w:p w:rsidR="00F65813" w:rsidRDefault="00EB0B4C">
      <w:pPr>
        <w:pStyle w:val="a5"/>
        <w:widowControl w:val="0"/>
        <w:numPr>
          <w:ilvl w:val="0"/>
          <w:numId w:val="0"/>
        </w:numPr>
        <w:spacing w:beforeLines="0" w:afterLines="0"/>
        <w:rPr>
          <w:rFonts w:asciiTheme="minorEastAsia" w:eastAsiaTheme="minorEastAsia" w:hAnsiTheme="minorEastAsia" w:cs="Times New Roman"/>
        </w:rPr>
      </w:pPr>
      <w:r>
        <w:rPr>
          <w:rFonts w:hAnsi="黑体"/>
        </w:rPr>
        <w:t xml:space="preserve">7.2.1 </w:t>
      </w:r>
      <w:r>
        <w:rPr>
          <w:rFonts w:asciiTheme="minorEastAsia" w:eastAsiaTheme="minorEastAsia" w:hAnsiTheme="minorEastAsia" w:cs="Times New Roman" w:hint="eastAsia"/>
        </w:rPr>
        <w:t>供电电压宜为交流</w:t>
      </w:r>
      <w:r>
        <w:rPr>
          <w:rFonts w:asciiTheme="minorEastAsia" w:eastAsiaTheme="minorEastAsia" w:hAnsiTheme="minorEastAsia" w:cs="Times New Roman"/>
        </w:rPr>
        <w:t>220 V/380 V</w:t>
      </w:r>
      <w:r>
        <w:rPr>
          <w:rFonts w:asciiTheme="minorEastAsia" w:eastAsiaTheme="minorEastAsia" w:hAnsiTheme="minorEastAsia" w:cs="Times New Roman" w:hint="eastAsia"/>
        </w:rPr>
        <w:t>。</w:t>
      </w:r>
    </w:p>
    <w:p w:rsidR="00F65813" w:rsidRDefault="00EB0B4C">
      <w:pPr>
        <w:pStyle w:val="a5"/>
        <w:widowControl w:val="0"/>
        <w:numPr>
          <w:ilvl w:val="0"/>
          <w:numId w:val="0"/>
        </w:numPr>
        <w:spacing w:beforeLines="0" w:afterLines="0"/>
        <w:rPr>
          <w:rFonts w:asciiTheme="minorEastAsia" w:eastAsiaTheme="minorEastAsia" w:hAnsiTheme="minorEastAsia" w:cs="Times New Roman"/>
        </w:rPr>
      </w:pPr>
      <w:r>
        <w:rPr>
          <w:rFonts w:hAnsi="黑体"/>
        </w:rPr>
        <w:t xml:space="preserve">7.2.2 </w:t>
      </w:r>
      <w:r>
        <w:rPr>
          <w:rFonts w:asciiTheme="minorEastAsia" w:eastAsiaTheme="minorEastAsia" w:hAnsiTheme="minorEastAsia" w:cs="Times New Roman" w:hint="eastAsia"/>
        </w:rPr>
        <w:t>供配电系统设计应简单可靠，低压配电级数不宜超过三级。</w:t>
      </w:r>
    </w:p>
    <w:p w:rsidR="00F65813" w:rsidRDefault="00EB0B4C">
      <w:pPr>
        <w:pStyle w:val="a5"/>
        <w:widowControl w:val="0"/>
        <w:numPr>
          <w:ilvl w:val="0"/>
          <w:numId w:val="0"/>
        </w:numPr>
        <w:spacing w:beforeLines="0" w:afterLines="0"/>
        <w:rPr>
          <w:rFonts w:asciiTheme="minorEastAsia" w:eastAsiaTheme="minorEastAsia" w:hAnsiTheme="minorEastAsia" w:cs="Times New Roman"/>
        </w:rPr>
      </w:pPr>
      <w:r>
        <w:rPr>
          <w:rFonts w:hAnsi="黑体"/>
        </w:rPr>
        <w:t xml:space="preserve">7.2.3 </w:t>
      </w:r>
      <w:r>
        <w:rPr>
          <w:rFonts w:asciiTheme="minorEastAsia" w:eastAsiaTheme="minorEastAsia" w:hAnsiTheme="minorEastAsia" w:cs="Times New Roman" w:hint="eastAsia"/>
        </w:rPr>
        <w:t>配电线路应装设短路保护和过负荷保护。</w:t>
      </w:r>
    </w:p>
    <w:p w:rsidR="00F65813" w:rsidRDefault="00EB0B4C">
      <w:pPr>
        <w:pStyle w:val="a5"/>
        <w:widowControl w:val="0"/>
        <w:numPr>
          <w:ilvl w:val="0"/>
          <w:numId w:val="0"/>
        </w:numPr>
        <w:spacing w:beforeLines="0" w:afterLines="0"/>
        <w:rPr>
          <w:rFonts w:asciiTheme="minorEastAsia" w:eastAsiaTheme="minorEastAsia" w:hAnsiTheme="minorEastAsia" w:cs="Times New Roman"/>
        </w:rPr>
      </w:pPr>
      <w:r>
        <w:rPr>
          <w:rFonts w:hAnsi="黑体"/>
        </w:rPr>
        <w:t xml:space="preserve">7.2.4 </w:t>
      </w:r>
      <w:r>
        <w:rPr>
          <w:rFonts w:asciiTheme="minorEastAsia" w:eastAsiaTheme="minorEastAsia" w:hAnsiTheme="minorEastAsia" w:cs="Times New Roman" w:hint="eastAsia"/>
        </w:rPr>
        <w:t>配电箱应装设专用的电能计量表具。</w:t>
      </w:r>
    </w:p>
    <w:p w:rsidR="00F65813" w:rsidRDefault="00EB0B4C">
      <w:pPr>
        <w:pStyle w:val="a5"/>
        <w:widowControl w:val="0"/>
        <w:numPr>
          <w:ilvl w:val="0"/>
          <w:numId w:val="0"/>
        </w:numPr>
        <w:spacing w:beforeLines="0" w:afterLines="0"/>
        <w:rPr>
          <w:rFonts w:asciiTheme="minorEastAsia" w:eastAsiaTheme="minorEastAsia" w:hAnsiTheme="minorEastAsia" w:cs="Times New Roman"/>
        </w:rPr>
      </w:pPr>
      <w:r>
        <w:rPr>
          <w:rFonts w:hAnsi="黑体"/>
        </w:rPr>
        <w:t xml:space="preserve">7.2.5 </w:t>
      </w:r>
      <w:r>
        <w:rPr>
          <w:rFonts w:asciiTheme="minorEastAsia" w:eastAsiaTheme="minorEastAsia" w:hAnsiTheme="minorEastAsia" w:cs="Times New Roman" w:hint="eastAsia"/>
        </w:rPr>
        <w:t>分支线路每一单相回路电流不宜超过</w:t>
      </w:r>
      <w:r>
        <w:rPr>
          <w:rFonts w:asciiTheme="minorEastAsia" w:eastAsiaTheme="minorEastAsia" w:hAnsiTheme="minorEastAsia" w:cs="Times New Roman"/>
        </w:rPr>
        <w:t>25 A</w:t>
      </w:r>
      <w:r>
        <w:rPr>
          <w:rFonts w:asciiTheme="minorEastAsia" w:eastAsiaTheme="minorEastAsia" w:hAnsiTheme="minorEastAsia" w:cs="Times New Roman" w:hint="eastAsia"/>
        </w:rPr>
        <w:t>；支路线路长度宜满足灯具端电压要求，并应进行保护灵敏度的校验。</w:t>
      </w:r>
    </w:p>
    <w:p w:rsidR="00F65813" w:rsidRDefault="00EB0B4C">
      <w:pPr>
        <w:pStyle w:val="a5"/>
        <w:widowControl w:val="0"/>
        <w:numPr>
          <w:ilvl w:val="0"/>
          <w:numId w:val="0"/>
        </w:numPr>
        <w:spacing w:beforeLines="0" w:afterLines="0"/>
        <w:rPr>
          <w:rFonts w:asciiTheme="minorEastAsia" w:eastAsiaTheme="minorEastAsia" w:hAnsiTheme="minorEastAsia" w:cs="Times New Roman"/>
        </w:rPr>
      </w:pPr>
      <w:r>
        <w:rPr>
          <w:rFonts w:hAnsi="黑体"/>
        </w:rPr>
        <w:t xml:space="preserve">7.2.6 </w:t>
      </w:r>
      <w:r>
        <w:rPr>
          <w:rFonts w:asciiTheme="minorEastAsia" w:eastAsiaTheme="minorEastAsia" w:hAnsiTheme="minorEastAsia" w:cs="Times New Roman" w:hint="eastAsia"/>
        </w:rPr>
        <w:t>重大活动必需的景观照明用电应有供电保障措施。</w:t>
      </w:r>
    </w:p>
    <w:p w:rsidR="00F65813" w:rsidRDefault="00EB0B4C">
      <w:pPr>
        <w:pStyle w:val="a4"/>
        <w:numPr>
          <w:ilvl w:val="0"/>
          <w:numId w:val="0"/>
        </w:numPr>
        <w:spacing w:before="156" w:after="156"/>
        <w:rPr>
          <w:rFonts w:ascii="Times New Roman" w:cs="Times New Roman"/>
        </w:rPr>
      </w:pPr>
      <w:bookmarkStart w:id="205" w:name="_Toc71206578"/>
      <w:bookmarkStart w:id="206" w:name="_Toc57193361"/>
      <w:r>
        <w:rPr>
          <w:rFonts w:hAnsi="黑体"/>
        </w:rPr>
        <w:t xml:space="preserve">7.3 </w:t>
      </w:r>
      <w:r>
        <w:rPr>
          <w:rFonts w:ascii="Times New Roman" w:cs="Times New Roman" w:hint="eastAsia"/>
        </w:rPr>
        <w:t>导线选择与线路敷设</w:t>
      </w:r>
      <w:bookmarkEnd w:id="205"/>
      <w:bookmarkEnd w:id="206"/>
    </w:p>
    <w:p w:rsidR="00F65813" w:rsidRDefault="00EB0B4C">
      <w:pPr>
        <w:pStyle w:val="a5"/>
        <w:widowControl w:val="0"/>
        <w:numPr>
          <w:ilvl w:val="0"/>
          <w:numId w:val="0"/>
        </w:numPr>
        <w:spacing w:beforeLines="0" w:afterLines="0"/>
        <w:rPr>
          <w:rFonts w:asciiTheme="minorEastAsia" w:eastAsiaTheme="minorEastAsia" w:hAnsiTheme="minorEastAsia" w:cs="Times New Roman"/>
          <w:kern w:val="2"/>
        </w:rPr>
      </w:pPr>
      <w:r>
        <w:rPr>
          <w:rFonts w:hAnsi="黑体"/>
        </w:rPr>
        <w:lastRenderedPageBreak/>
        <w:t xml:space="preserve">7.3.1 </w:t>
      </w:r>
      <w:r>
        <w:rPr>
          <w:rFonts w:asciiTheme="minorEastAsia" w:eastAsiaTheme="minorEastAsia" w:hAnsiTheme="minorEastAsia" w:cs="Times New Roman" w:hint="eastAsia"/>
          <w:kern w:val="2"/>
        </w:rPr>
        <w:t>三相配电线路的中性线截面积应满足不平衡电流及谐波电流的要求，且不应小于相线截面积。</w:t>
      </w:r>
    </w:p>
    <w:p w:rsidR="00F65813" w:rsidRDefault="00EB0B4C">
      <w:pPr>
        <w:pStyle w:val="a5"/>
        <w:widowControl w:val="0"/>
        <w:numPr>
          <w:ilvl w:val="0"/>
          <w:numId w:val="0"/>
        </w:numPr>
        <w:spacing w:beforeLines="0" w:afterLines="0"/>
        <w:rPr>
          <w:rFonts w:asciiTheme="minorEastAsia" w:eastAsiaTheme="minorEastAsia" w:hAnsiTheme="minorEastAsia" w:cs="Times New Roman"/>
          <w:kern w:val="2"/>
        </w:rPr>
      </w:pPr>
      <w:r>
        <w:rPr>
          <w:rFonts w:hAnsi="黑体"/>
        </w:rPr>
        <w:t xml:space="preserve">7.3.2 </w:t>
      </w:r>
      <w:r>
        <w:rPr>
          <w:rFonts w:asciiTheme="minorEastAsia" w:eastAsiaTheme="minorEastAsia" w:hAnsiTheme="minorEastAsia" w:cs="Times New Roman" w:hint="eastAsia"/>
          <w:kern w:val="2"/>
        </w:rPr>
        <w:t>保护线（</w:t>
      </w:r>
      <w:r>
        <w:rPr>
          <w:rFonts w:asciiTheme="minorEastAsia" w:eastAsiaTheme="minorEastAsia" w:hAnsiTheme="minorEastAsia" w:cs="Times New Roman"/>
          <w:kern w:val="2"/>
        </w:rPr>
        <w:t>PE</w:t>
      </w:r>
      <w:r>
        <w:rPr>
          <w:rFonts w:asciiTheme="minorEastAsia" w:eastAsiaTheme="minorEastAsia" w:hAnsiTheme="minorEastAsia" w:cs="Times New Roman" w:hint="eastAsia"/>
          <w:kern w:val="2"/>
        </w:rPr>
        <w:t>线）的材质应与相线相同，截面选择应符合表</w:t>
      </w:r>
      <w:r>
        <w:rPr>
          <w:rFonts w:asciiTheme="minorEastAsia" w:eastAsiaTheme="minorEastAsia" w:hAnsiTheme="minorEastAsia" w:cs="Times New Roman"/>
          <w:kern w:val="2"/>
        </w:rPr>
        <w:t>8</w:t>
      </w:r>
      <w:r>
        <w:rPr>
          <w:rFonts w:asciiTheme="minorEastAsia" w:eastAsiaTheme="minorEastAsia" w:hAnsiTheme="minorEastAsia" w:cs="Times New Roman" w:hint="eastAsia"/>
          <w:kern w:val="2"/>
        </w:rPr>
        <w:t>的规定。</w:t>
      </w:r>
    </w:p>
    <w:p w:rsidR="00F65813" w:rsidRDefault="00EB0B4C">
      <w:pPr>
        <w:pStyle w:val="af4"/>
        <w:keepNext/>
        <w:widowControl w:val="0"/>
        <w:numPr>
          <w:ilvl w:val="0"/>
          <w:numId w:val="0"/>
        </w:numPr>
        <w:tabs>
          <w:tab w:val="left" w:pos="360"/>
        </w:tabs>
        <w:spacing w:before="156" w:after="156"/>
        <w:rPr>
          <w:rFonts w:ascii="Times New Roman" w:cs="Times New Roman"/>
        </w:rPr>
      </w:pPr>
      <w:r>
        <w:rPr>
          <w:rFonts w:ascii="Times New Roman" w:cs="Times New Roman" w:hint="eastAsia"/>
        </w:rPr>
        <w:t>表</w:t>
      </w:r>
      <w:r>
        <w:rPr>
          <w:rFonts w:ascii="Times New Roman" w:cs="Times New Roman"/>
        </w:rPr>
        <w:t xml:space="preserve">8  </w:t>
      </w:r>
      <w:r>
        <w:rPr>
          <w:rFonts w:ascii="Times New Roman" w:cs="Times New Roman" w:hint="eastAsia"/>
        </w:rPr>
        <w:t>保护线的最小截面</w:t>
      </w:r>
    </w:p>
    <w:tbl>
      <w:tblPr>
        <w:tblW w:w="505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480"/>
        <w:gridCol w:w="5195"/>
      </w:tblGrid>
      <w:tr w:rsidR="00F65813">
        <w:trPr>
          <w:cantSplit/>
          <w:trHeight w:val="397"/>
        </w:trPr>
        <w:tc>
          <w:tcPr>
            <w:tcW w:w="2315" w:type="pct"/>
            <w:tcBorders>
              <w:top w:val="single" w:sz="4" w:space="0" w:color="auto"/>
              <w:left w:val="single" w:sz="4" w:space="0" w:color="auto"/>
              <w:bottom w:val="single" w:sz="4" w:space="0" w:color="auto"/>
              <w:right w:val="single" w:sz="4" w:space="0" w:color="auto"/>
            </w:tcBorders>
            <w:vAlign w:val="center"/>
          </w:tcPr>
          <w:p w:rsidR="00F65813" w:rsidRDefault="00EB0B4C">
            <w:pPr>
              <w:keepNext/>
              <w:adjustRightInd w:val="0"/>
              <w:snapToGrid w:val="0"/>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回路相线截面</w:t>
            </w:r>
            <w:r>
              <w:rPr>
                <w:rFonts w:asciiTheme="minorEastAsia" w:eastAsiaTheme="minorEastAsia" w:hAnsiTheme="minorEastAsia"/>
                <w:i/>
                <w:iCs/>
                <w:sz w:val="18"/>
                <w:szCs w:val="18"/>
              </w:rPr>
              <w:t>S</w:t>
            </w:r>
          </w:p>
          <w:p w:rsidR="00F65813" w:rsidRDefault="00EB0B4C">
            <w:pPr>
              <w:keepNext/>
              <w:adjustRightInd w:val="0"/>
              <w:snapToGrid w:val="0"/>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mm</w:t>
            </w:r>
            <w:r>
              <w:rPr>
                <w:rFonts w:asciiTheme="minorEastAsia" w:eastAsiaTheme="minorEastAsia" w:hAnsiTheme="minorEastAsia"/>
                <w:sz w:val="18"/>
                <w:szCs w:val="18"/>
                <w:vertAlign w:val="superscript"/>
              </w:rPr>
              <w:t>2</w:t>
            </w:r>
          </w:p>
        </w:tc>
        <w:tc>
          <w:tcPr>
            <w:tcW w:w="2685" w:type="pct"/>
            <w:tcBorders>
              <w:top w:val="single" w:sz="4" w:space="0" w:color="auto"/>
              <w:left w:val="single" w:sz="4" w:space="0" w:color="auto"/>
              <w:bottom w:val="single" w:sz="4" w:space="0" w:color="auto"/>
              <w:right w:val="single" w:sz="4" w:space="0" w:color="auto"/>
            </w:tcBorders>
            <w:vAlign w:val="center"/>
          </w:tcPr>
          <w:p w:rsidR="00F65813" w:rsidRDefault="00EB0B4C">
            <w:pPr>
              <w:keepNext/>
              <w:adjustRightInd w:val="0"/>
              <w:snapToGrid w:val="0"/>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保护线最小截面</w:t>
            </w:r>
            <w:r>
              <w:rPr>
                <w:rFonts w:asciiTheme="minorEastAsia" w:eastAsiaTheme="minorEastAsia" w:hAnsiTheme="minorEastAsia"/>
                <w:i/>
                <w:iCs/>
                <w:sz w:val="18"/>
                <w:szCs w:val="18"/>
              </w:rPr>
              <w:t>S</w:t>
            </w:r>
          </w:p>
          <w:p w:rsidR="00F65813" w:rsidRDefault="00EB0B4C">
            <w:pPr>
              <w:keepNext/>
              <w:adjustRightInd w:val="0"/>
              <w:snapToGrid w:val="0"/>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mm</w:t>
            </w:r>
            <w:r>
              <w:rPr>
                <w:rFonts w:asciiTheme="minorEastAsia" w:eastAsiaTheme="minorEastAsia" w:hAnsiTheme="minorEastAsia"/>
                <w:sz w:val="18"/>
                <w:szCs w:val="18"/>
                <w:vertAlign w:val="superscript"/>
              </w:rPr>
              <w:t>2</w:t>
            </w:r>
          </w:p>
        </w:tc>
      </w:tr>
      <w:tr w:rsidR="00F65813">
        <w:trPr>
          <w:cantSplit/>
          <w:trHeight w:val="397"/>
        </w:trPr>
        <w:tc>
          <w:tcPr>
            <w:tcW w:w="2315" w:type="pct"/>
            <w:tcBorders>
              <w:top w:val="single" w:sz="4" w:space="0" w:color="auto"/>
              <w:left w:val="single" w:sz="4" w:space="0" w:color="auto"/>
              <w:bottom w:val="single" w:sz="4" w:space="0" w:color="auto"/>
              <w:right w:val="single" w:sz="4" w:space="0" w:color="auto"/>
            </w:tcBorders>
            <w:vAlign w:val="center"/>
          </w:tcPr>
          <w:p w:rsidR="00F65813" w:rsidRDefault="00EB0B4C">
            <w:pPr>
              <w:keepNext/>
              <w:adjustRightInd w:val="0"/>
              <w:snapToGrid w:val="0"/>
              <w:spacing w:after="0"/>
              <w:jc w:val="center"/>
              <w:rPr>
                <w:rFonts w:asciiTheme="minorEastAsia" w:eastAsiaTheme="minorEastAsia" w:hAnsiTheme="minorEastAsia"/>
                <w:sz w:val="18"/>
                <w:szCs w:val="18"/>
              </w:rPr>
            </w:pPr>
            <w:r>
              <w:rPr>
                <w:rFonts w:asciiTheme="minorEastAsia" w:eastAsiaTheme="minorEastAsia" w:hAnsiTheme="minorEastAsia"/>
                <w:i/>
                <w:iCs/>
                <w:sz w:val="18"/>
                <w:szCs w:val="18"/>
              </w:rPr>
              <w:t>S</w:t>
            </w:r>
            <w:r>
              <w:rPr>
                <w:rFonts w:asciiTheme="minorEastAsia" w:eastAsiaTheme="minorEastAsia" w:hAnsiTheme="minorEastAsia" w:hint="eastAsia"/>
                <w:sz w:val="18"/>
                <w:szCs w:val="18"/>
              </w:rPr>
              <w:t>≤</w:t>
            </w:r>
            <w:r>
              <w:rPr>
                <w:rFonts w:asciiTheme="minorEastAsia" w:eastAsiaTheme="minorEastAsia" w:hAnsiTheme="minorEastAsia"/>
                <w:sz w:val="18"/>
                <w:szCs w:val="18"/>
              </w:rPr>
              <w:t>16</w:t>
            </w:r>
          </w:p>
        </w:tc>
        <w:tc>
          <w:tcPr>
            <w:tcW w:w="2685" w:type="pct"/>
            <w:tcBorders>
              <w:top w:val="single" w:sz="4" w:space="0" w:color="auto"/>
              <w:left w:val="single" w:sz="4" w:space="0" w:color="auto"/>
              <w:bottom w:val="single" w:sz="4" w:space="0" w:color="auto"/>
              <w:right w:val="single" w:sz="4" w:space="0" w:color="auto"/>
            </w:tcBorders>
            <w:vAlign w:val="center"/>
          </w:tcPr>
          <w:p w:rsidR="00F65813" w:rsidRDefault="00EB0B4C">
            <w:pPr>
              <w:keepNext/>
              <w:adjustRightInd w:val="0"/>
              <w:snapToGrid w:val="0"/>
              <w:spacing w:after="0"/>
              <w:jc w:val="center"/>
              <w:rPr>
                <w:rFonts w:asciiTheme="minorEastAsia" w:eastAsiaTheme="minorEastAsia" w:hAnsiTheme="minorEastAsia"/>
                <w:i/>
                <w:iCs/>
                <w:sz w:val="18"/>
                <w:szCs w:val="18"/>
              </w:rPr>
            </w:pPr>
            <w:r>
              <w:rPr>
                <w:rFonts w:asciiTheme="minorEastAsia" w:eastAsiaTheme="minorEastAsia" w:hAnsiTheme="minorEastAsia"/>
                <w:i/>
                <w:iCs/>
                <w:sz w:val="18"/>
                <w:szCs w:val="18"/>
              </w:rPr>
              <w:t>S</w:t>
            </w:r>
          </w:p>
        </w:tc>
      </w:tr>
      <w:tr w:rsidR="00F65813">
        <w:trPr>
          <w:cantSplit/>
          <w:trHeight w:val="397"/>
        </w:trPr>
        <w:tc>
          <w:tcPr>
            <w:tcW w:w="2315" w:type="pct"/>
            <w:tcBorders>
              <w:top w:val="single" w:sz="4" w:space="0" w:color="auto"/>
              <w:left w:val="single" w:sz="4" w:space="0" w:color="auto"/>
              <w:bottom w:val="single" w:sz="4" w:space="0" w:color="auto"/>
              <w:right w:val="single" w:sz="4" w:space="0" w:color="auto"/>
            </w:tcBorders>
            <w:vAlign w:val="center"/>
          </w:tcPr>
          <w:p w:rsidR="00F65813" w:rsidRDefault="00EB0B4C">
            <w:pPr>
              <w:keepNext/>
              <w:adjustRightInd w:val="0"/>
              <w:snapToGrid w:val="0"/>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16</w:t>
            </w:r>
            <w:r>
              <w:rPr>
                <w:rFonts w:asciiTheme="minorEastAsia" w:eastAsiaTheme="minorEastAsia" w:hAnsiTheme="minorEastAsia" w:hint="eastAsia"/>
                <w:sz w:val="18"/>
                <w:szCs w:val="18"/>
              </w:rPr>
              <w:t>＜</w:t>
            </w:r>
            <w:r>
              <w:rPr>
                <w:rFonts w:asciiTheme="minorEastAsia" w:eastAsiaTheme="minorEastAsia" w:hAnsiTheme="minorEastAsia"/>
                <w:i/>
                <w:iCs/>
                <w:sz w:val="18"/>
                <w:szCs w:val="18"/>
              </w:rPr>
              <w:t>S</w:t>
            </w:r>
            <w:r>
              <w:rPr>
                <w:rFonts w:asciiTheme="minorEastAsia" w:eastAsiaTheme="minorEastAsia" w:hAnsiTheme="minorEastAsia" w:hint="eastAsia"/>
                <w:sz w:val="18"/>
                <w:szCs w:val="18"/>
              </w:rPr>
              <w:t>≤</w:t>
            </w:r>
            <w:r>
              <w:rPr>
                <w:rFonts w:asciiTheme="minorEastAsia" w:eastAsiaTheme="minorEastAsia" w:hAnsiTheme="minorEastAsia"/>
                <w:sz w:val="18"/>
                <w:szCs w:val="18"/>
              </w:rPr>
              <w:t>35</w:t>
            </w:r>
          </w:p>
        </w:tc>
        <w:tc>
          <w:tcPr>
            <w:tcW w:w="2685" w:type="pct"/>
            <w:tcBorders>
              <w:top w:val="single" w:sz="4" w:space="0" w:color="auto"/>
              <w:left w:val="single" w:sz="4" w:space="0" w:color="auto"/>
              <w:bottom w:val="single" w:sz="4" w:space="0" w:color="auto"/>
              <w:right w:val="single" w:sz="4" w:space="0" w:color="auto"/>
            </w:tcBorders>
            <w:vAlign w:val="center"/>
          </w:tcPr>
          <w:p w:rsidR="00F65813" w:rsidRDefault="00EB0B4C">
            <w:pPr>
              <w:keepNext/>
              <w:adjustRightInd w:val="0"/>
              <w:snapToGrid w:val="0"/>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16</w:t>
            </w:r>
          </w:p>
        </w:tc>
      </w:tr>
      <w:tr w:rsidR="00F65813">
        <w:trPr>
          <w:cantSplit/>
          <w:trHeight w:val="397"/>
        </w:trPr>
        <w:tc>
          <w:tcPr>
            <w:tcW w:w="2315" w:type="pct"/>
            <w:tcBorders>
              <w:top w:val="single" w:sz="4" w:space="0" w:color="auto"/>
              <w:left w:val="single" w:sz="4" w:space="0" w:color="auto"/>
              <w:bottom w:val="single" w:sz="4" w:space="0" w:color="auto"/>
              <w:right w:val="single" w:sz="4" w:space="0" w:color="auto"/>
            </w:tcBorders>
            <w:vAlign w:val="center"/>
          </w:tcPr>
          <w:p w:rsidR="00F65813" w:rsidRDefault="00EB0B4C">
            <w:pPr>
              <w:keepNext/>
              <w:adjustRightInd w:val="0"/>
              <w:snapToGrid w:val="0"/>
              <w:spacing w:after="0"/>
              <w:jc w:val="center"/>
              <w:rPr>
                <w:rFonts w:asciiTheme="minorEastAsia" w:eastAsiaTheme="minorEastAsia" w:hAnsiTheme="minorEastAsia"/>
                <w:sz w:val="18"/>
                <w:szCs w:val="18"/>
              </w:rPr>
            </w:pPr>
            <w:r>
              <w:rPr>
                <w:rFonts w:asciiTheme="minorEastAsia" w:eastAsiaTheme="minorEastAsia" w:hAnsiTheme="minorEastAsia"/>
                <w:sz w:val="18"/>
                <w:szCs w:val="18"/>
              </w:rPr>
              <w:t>35</w:t>
            </w:r>
            <w:r>
              <w:rPr>
                <w:rFonts w:asciiTheme="minorEastAsia" w:eastAsiaTheme="minorEastAsia" w:hAnsiTheme="minorEastAsia" w:hint="eastAsia"/>
                <w:sz w:val="18"/>
                <w:szCs w:val="18"/>
              </w:rPr>
              <w:t>＜</w:t>
            </w:r>
            <w:r>
              <w:rPr>
                <w:rFonts w:asciiTheme="minorEastAsia" w:eastAsiaTheme="minorEastAsia" w:hAnsiTheme="minorEastAsia"/>
                <w:i/>
                <w:iCs/>
                <w:sz w:val="18"/>
                <w:szCs w:val="18"/>
              </w:rPr>
              <w:t>S</w:t>
            </w:r>
            <w:r>
              <w:rPr>
                <w:rFonts w:asciiTheme="minorEastAsia" w:eastAsiaTheme="minorEastAsia" w:hAnsiTheme="minorEastAsia" w:hint="eastAsia"/>
                <w:sz w:val="18"/>
                <w:szCs w:val="18"/>
              </w:rPr>
              <w:t>≤</w:t>
            </w:r>
            <w:r>
              <w:rPr>
                <w:rFonts w:asciiTheme="minorEastAsia" w:eastAsiaTheme="minorEastAsia" w:hAnsiTheme="minorEastAsia"/>
                <w:sz w:val="18"/>
                <w:szCs w:val="18"/>
              </w:rPr>
              <w:t>400</w:t>
            </w:r>
          </w:p>
        </w:tc>
        <w:tc>
          <w:tcPr>
            <w:tcW w:w="2685" w:type="pct"/>
            <w:tcBorders>
              <w:top w:val="single" w:sz="4" w:space="0" w:color="auto"/>
              <w:left w:val="single" w:sz="4" w:space="0" w:color="auto"/>
              <w:bottom w:val="single" w:sz="4" w:space="0" w:color="auto"/>
              <w:right w:val="single" w:sz="4" w:space="0" w:color="auto"/>
            </w:tcBorders>
            <w:vAlign w:val="center"/>
          </w:tcPr>
          <w:p w:rsidR="00F65813" w:rsidRDefault="00EB0B4C">
            <w:pPr>
              <w:keepNext/>
              <w:adjustRightInd w:val="0"/>
              <w:snapToGrid w:val="0"/>
              <w:spacing w:after="0"/>
              <w:jc w:val="center"/>
              <w:rPr>
                <w:rFonts w:asciiTheme="minorEastAsia" w:eastAsiaTheme="minorEastAsia" w:hAnsiTheme="minorEastAsia"/>
                <w:sz w:val="18"/>
                <w:szCs w:val="18"/>
              </w:rPr>
            </w:pPr>
            <w:r>
              <w:rPr>
                <w:rFonts w:asciiTheme="minorEastAsia" w:eastAsiaTheme="minorEastAsia" w:hAnsiTheme="minorEastAsia"/>
                <w:i/>
                <w:iCs/>
                <w:sz w:val="18"/>
                <w:szCs w:val="18"/>
              </w:rPr>
              <w:t>S</w:t>
            </w:r>
            <w:r>
              <w:rPr>
                <w:rFonts w:asciiTheme="minorEastAsia" w:eastAsiaTheme="minorEastAsia" w:hAnsiTheme="minorEastAsia"/>
                <w:sz w:val="18"/>
                <w:szCs w:val="18"/>
              </w:rPr>
              <w:t>/2</w:t>
            </w:r>
          </w:p>
        </w:tc>
      </w:tr>
    </w:tbl>
    <w:p w:rsidR="00F65813" w:rsidRDefault="00F65813">
      <w:pPr>
        <w:pStyle w:val="a5"/>
        <w:widowControl w:val="0"/>
        <w:numPr>
          <w:ilvl w:val="0"/>
          <w:numId w:val="0"/>
        </w:numPr>
        <w:spacing w:beforeLines="0" w:afterLines="0"/>
        <w:rPr>
          <w:rFonts w:ascii="Times New Roman" w:eastAsia="宋体" w:cs="Times New Roman"/>
          <w:kern w:val="2"/>
        </w:rPr>
      </w:pPr>
    </w:p>
    <w:p w:rsidR="00F65813" w:rsidRPr="00F65813" w:rsidRDefault="00EB0B4C">
      <w:pPr>
        <w:pStyle w:val="a5"/>
        <w:widowControl w:val="0"/>
        <w:numPr>
          <w:ilvl w:val="0"/>
          <w:numId w:val="0"/>
        </w:numPr>
        <w:spacing w:beforeLines="0" w:afterLines="0"/>
        <w:rPr>
          <w:rFonts w:ascii="宋体" w:eastAsia="宋体" w:hAnsi="宋体" w:cs="Times New Roman"/>
          <w:color w:val="000000" w:themeColor="text1"/>
          <w:kern w:val="2"/>
        </w:rPr>
      </w:pPr>
      <w:r>
        <w:rPr>
          <w:rFonts w:hAnsi="黑体"/>
        </w:rPr>
        <w:t>7.3.3</w:t>
      </w:r>
      <w:bookmarkStart w:id="207" w:name="_Hlk88682202"/>
      <w:r w:rsidR="00F65813" w:rsidRPr="00F65813">
        <w:rPr>
          <w:rFonts w:ascii="宋体" w:eastAsia="宋体" w:hAnsi="宋体" w:cs="Times New Roman" w:hint="eastAsia"/>
          <w:color w:val="FF0000"/>
          <w:kern w:val="2"/>
        </w:rPr>
        <w:t>配电线路应敷设在线槽或保护管内，不同电压等级的线路不应敷设在同一线槽或保护管内；当直接埋地敷设时，应采用铠装电缆</w:t>
      </w:r>
      <w:bookmarkEnd w:id="207"/>
      <w:r w:rsidR="00F65813" w:rsidRPr="00F65813">
        <w:rPr>
          <w:rFonts w:ascii="宋体" w:eastAsia="宋体" w:hAnsi="宋体" w:cs="Times New Roman" w:hint="eastAsia"/>
          <w:color w:val="FF0000"/>
          <w:kern w:val="2"/>
        </w:rPr>
        <w:t>。</w:t>
      </w:r>
    </w:p>
    <w:p w:rsidR="00F65813" w:rsidRDefault="00EB0B4C">
      <w:pPr>
        <w:pStyle w:val="a5"/>
        <w:widowControl w:val="0"/>
        <w:numPr>
          <w:ilvl w:val="0"/>
          <w:numId w:val="0"/>
        </w:numPr>
        <w:spacing w:beforeLines="0" w:afterLines="0"/>
        <w:rPr>
          <w:rFonts w:ascii="宋体" w:eastAsia="宋体" w:hAnsi="宋体" w:cs="Times New Roman"/>
          <w:kern w:val="2"/>
        </w:rPr>
      </w:pPr>
      <w:r>
        <w:rPr>
          <w:rFonts w:hAnsi="黑体"/>
        </w:rPr>
        <w:t xml:space="preserve">7.3.4 </w:t>
      </w:r>
      <w:r>
        <w:rPr>
          <w:rFonts w:ascii="宋体" w:eastAsia="宋体" w:hAnsi="宋体" w:cs="Times New Roman" w:hint="eastAsia"/>
          <w:kern w:val="2"/>
        </w:rPr>
        <w:t>景观照明末端配电回路应采用铜芯电缆，截面不应小于</w:t>
      </w:r>
      <w:r>
        <w:rPr>
          <w:rFonts w:ascii="宋体" w:eastAsia="宋体" w:hAnsi="宋体" w:cs="Times New Roman"/>
          <w:kern w:val="2"/>
        </w:rPr>
        <w:t>2.5 mm</w:t>
      </w:r>
      <w:r>
        <w:rPr>
          <w:rFonts w:ascii="宋体" w:eastAsia="宋体" w:hAnsi="宋体" w:cs="Times New Roman"/>
          <w:kern w:val="2"/>
          <w:vertAlign w:val="superscript"/>
        </w:rPr>
        <w:t>2</w:t>
      </w:r>
      <w:r>
        <w:rPr>
          <w:rFonts w:ascii="宋体" w:eastAsia="宋体" w:hAnsi="宋体" w:cs="Times New Roman" w:hint="eastAsia"/>
          <w:kern w:val="2"/>
        </w:rPr>
        <w:t>。</w:t>
      </w:r>
      <w:bookmarkStart w:id="208" w:name="_Toc57193362"/>
      <w:bookmarkStart w:id="209" w:name="_Toc71206579"/>
    </w:p>
    <w:p w:rsidR="00F65813" w:rsidRDefault="00EB0B4C">
      <w:pPr>
        <w:pStyle w:val="a5"/>
        <w:widowControl w:val="0"/>
        <w:numPr>
          <w:ilvl w:val="0"/>
          <w:numId w:val="0"/>
        </w:numPr>
        <w:spacing w:beforeLines="0" w:afterLines="0"/>
        <w:rPr>
          <w:rFonts w:ascii="Times New Roman" w:cs="Times New Roman"/>
        </w:rPr>
      </w:pPr>
      <w:r>
        <w:rPr>
          <w:rFonts w:hAnsi="黑体"/>
        </w:rPr>
        <w:t xml:space="preserve">7.4  </w:t>
      </w:r>
      <w:r>
        <w:rPr>
          <w:rFonts w:ascii="Times New Roman" w:cs="Times New Roman" w:hint="eastAsia"/>
        </w:rPr>
        <w:t>接地、防雷与安全</w:t>
      </w:r>
      <w:bookmarkEnd w:id="208"/>
      <w:bookmarkEnd w:id="209"/>
    </w:p>
    <w:p w:rsidR="00F65813" w:rsidRDefault="00EB0B4C">
      <w:pPr>
        <w:pStyle w:val="a5"/>
        <w:widowControl w:val="0"/>
        <w:numPr>
          <w:ilvl w:val="0"/>
          <w:numId w:val="0"/>
        </w:numPr>
        <w:spacing w:beforeLines="0" w:afterLines="0"/>
        <w:rPr>
          <w:rFonts w:ascii="宋体" w:eastAsia="宋体" w:hAnsi="宋体" w:cs="Times New Roman"/>
          <w:kern w:val="2"/>
        </w:rPr>
      </w:pPr>
      <w:r>
        <w:rPr>
          <w:rFonts w:hAnsi="黑体"/>
        </w:rPr>
        <w:t xml:space="preserve">7.4.1 </w:t>
      </w:r>
      <w:r>
        <w:rPr>
          <w:rFonts w:ascii="宋体" w:eastAsia="宋体" w:hAnsi="宋体" w:cs="Times New Roman" w:hint="eastAsia"/>
          <w:kern w:val="2"/>
        </w:rPr>
        <w:t>景观照明供配电系统接地型式应采用</w:t>
      </w:r>
      <w:r>
        <w:rPr>
          <w:rFonts w:ascii="宋体" w:eastAsia="宋体" w:hAnsi="宋体" w:cs="Times New Roman"/>
          <w:kern w:val="2"/>
        </w:rPr>
        <w:t>TT</w:t>
      </w:r>
      <w:r>
        <w:rPr>
          <w:rFonts w:ascii="宋体" w:eastAsia="宋体" w:hAnsi="宋体" w:cs="Times New Roman" w:hint="eastAsia"/>
          <w:kern w:val="2"/>
        </w:rPr>
        <w:t>系统、</w:t>
      </w:r>
      <w:r>
        <w:rPr>
          <w:rFonts w:ascii="宋体" w:eastAsia="宋体" w:hAnsi="宋体" w:cs="Times New Roman"/>
          <w:kern w:val="2"/>
        </w:rPr>
        <w:t>TN-C-S</w:t>
      </w:r>
      <w:r>
        <w:rPr>
          <w:rFonts w:ascii="宋体" w:eastAsia="宋体" w:hAnsi="宋体" w:cs="Times New Roman" w:hint="eastAsia"/>
          <w:kern w:val="2"/>
        </w:rPr>
        <w:t>系统或</w:t>
      </w:r>
      <w:r>
        <w:rPr>
          <w:rFonts w:ascii="宋体" w:eastAsia="宋体" w:hAnsi="宋体" w:cs="Times New Roman"/>
          <w:kern w:val="2"/>
        </w:rPr>
        <w:t>TN-S</w:t>
      </w:r>
      <w:r>
        <w:rPr>
          <w:rFonts w:ascii="宋体" w:eastAsia="宋体" w:hAnsi="宋体" w:cs="Times New Roman" w:hint="eastAsia"/>
          <w:kern w:val="2"/>
        </w:rPr>
        <w:t>系统。</w:t>
      </w:r>
    </w:p>
    <w:p w:rsidR="00F65813" w:rsidRDefault="00EB0B4C">
      <w:pPr>
        <w:pStyle w:val="a5"/>
        <w:widowControl w:val="0"/>
        <w:numPr>
          <w:ilvl w:val="0"/>
          <w:numId w:val="0"/>
        </w:numPr>
        <w:spacing w:beforeLines="0" w:afterLines="0"/>
        <w:rPr>
          <w:rFonts w:ascii="宋体" w:eastAsia="宋体" w:hAnsi="宋体" w:cs="Times New Roman"/>
          <w:kern w:val="2"/>
        </w:rPr>
      </w:pPr>
      <w:r>
        <w:rPr>
          <w:rFonts w:hAnsi="黑体"/>
        </w:rPr>
        <w:t xml:space="preserve">7.4.2 </w:t>
      </w:r>
      <w:r>
        <w:rPr>
          <w:rFonts w:ascii="宋体" w:eastAsia="宋体" w:hAnsi="宋体" w:cs="Times New Roman" w:hint="eastAsia"/>
          <w:kern w:val="2"/>
        </w:rPr>
        <w:t>安装于建筑内的景观照明系统应与该建筑配电系统的接地形式一致；安装于室外的景观照明中部分设施置于距建筑外墙</w:t>
      </w:r>
      <w:r>
        <w:rPr>
          <w:rFonts w:ascii="宋体" w:eastAsia="宋体" w:hAnsi="宋体" w:cs="Times New Roman"/>
          <w:kern w:val="2"/>
        </w:rPr>
        <w:t>20 m</w:t>
      </w:r>
      <w:r>
        <w:rPr>
          <w:rFonts w:ascii="宋体" w:eastAsia="宋体" w:hAnsi="宋体" w:cs="Times New Roman" w:hint="eastAsia"/>
          <w:kern w:val="2"/>
        </w:rPr>
        <w:t>以内范围的，应与室内系统的接地形式一致；全部设施均置于距建筑物外墙</w:t>
      </w:r>
      <w:r>
        <w:rPr>
          <w:rFonts w:ascii="宋体" w:eastAsia="宋体" w:hAnsi="宋体" w:cs="Times New Roman"/>
          <w:kern w:val="2"/>
        </w:rPr>
        <w:t>20 m</w:t>
      </w:r>
      <w:r>
        <w:rPr>
          <w:rFonts w:ascii="宋体" w:eastAsia="宋体" w:hAnsi="宋体" w:cs="Times New Roman" w:hint="eastAsia"/>
          <w:kern w:val="2"/>
        </w:rPr>
        <w:t>以外的照明回路，宜采用</w:t>
      </w:r>
      <w:r>
        <w:rPr>
          <w:rFonts w:ascii="宋体" w:eastAsia="宋体" w:hAnsi="宋体" w:cs="Times New Roman"/>
          <w:kern w:val="2"/>
        </w:rPr>
        <w:t>TT</w:t>
      </w:r>
      <w:r>
        <w:rPr>
          <w:rFonts w:ascii="宋体" w:eastAsia="宋体" w:hAnsi="宋体" w:cs="Times New Roman" w:hint="eastAsia"/>
          <w:kern w:val="2"/>
        </w:rPr>
        <w:t>接地形式。</w:t>
      </w:r>
    </w:p>
    <w:p w:rsidR="00F65813" w:rsidRDefault="00EB0B4C">
      <w:pPr>
        <w:pStyle w:val="a5"/>
        <w:widowControl w:val="0"/>
        <w:numPr>
          <w:ilvl w:val="0"/>
          <w:numId w:val="0"/>
        </w:numPr>
        <w:spacing w:beforeLines="0" w:afterLines="0"/>
        <w:rPr>
          <w:rFonts w:ascii="宋体" w:eastAsia="宋体" w:hAnsi="宋体" w:cs="Times New Roman"/>
          <w:kern w:val="2"/>
        </w:rPr>
      </w:pPr>
      <w:r>
        <w:rPr>
          <w:rFonts w:hAnsi="黑体"/>
        </w:rPr>
        <w:t xml:space="preserve">7.4.3 </w:t>
      </w:r>
      <w:r>
        <w:rPr>
          <w:rFonts w:ascii="宋体" w:eastAsia="宋体" w:hAnsi="宋体" w:cs="Times New Roman" w:hint="eastAsia"/>
          <w:kern w:val="2"/>
        </w:rPr>
        <w:t>室外分支线路应装设剩余电流动作保护器。</w:t>
      </w:r>
    </w:p>
    <w:p w:rsidR="00F65813" w:rsidRDefault="00EB0B4C">
      <w:pPr>
        <w:pStyle w:val="a5"/>
        <w:widowControl w:val="0"/>
        <w:numPr>
          <w:ilvl w:val="0"/>
          <w:numId w:val="0"/>
        </w:numPr>
        <w:spacing w:beforeLines="0" w:afterLines="0"/>
        <w:rPr>
          <w:rFonts w:ascii="宋体" w:eastAsia="宋体" w:hAnsi="宋体" w:cs="Times New Roman"/>
          <w:kern w:val="2"/>
        </w:rPr>
      </w:pPr>
      <w:r>
        <w:rPr>
          <w:rFonts w:hAnsi="黑体"/>
        </w:rPr>
        <w:t xml:space="preserve">7.4.4 </w:t>
      </w:r>
      <w:r>
        <w:rPr>
          <w:rFonts w:ascii="宋体" w:eastAsia="宋体" w:hAnsi="宋体" w:cs="Times New Roman" w:hint="eastAsia"/>
          <w:kern w:val="2"/>
        </w:rPr>
        <w:t>Ⅰ类设备的外露可导电部分必须经</w:t>
      </w:r>
      <w:r>
        <w:rPr>
          <w:rFonts w:ascii="宋体" w:eastAsia="宋体" w:hAnsi="宋体" w:cs="Times New Roman"/>
          <w:kern w:val="2"/>
        </w:rPr>
        <w:t>PE</w:t>
      </w:r>
      <w:r>
        <w:rPr>
          <w:rFonts w:ascii="宋体" w:eastAsia="宋体" w:hAnsi="宋体" w:cs="Times New Roman" w:hint="eastAsia"/>
          <w:kern w:val="2"/>
        </w:rPr>
        <w:t>线可靠接地，Ⅱ类设备不需为防电击而接</w:t>
      </w:r>
      <w:r>
        <w:rPr>
          <w:rFonts w:ascii="宋体" w:eastAsia="宋体" w:hAnsi="宋体" w:cs="Times New Roman"/>
          <w:kern w:val="2"/>
        </w:rPr>
        <w:t>PE</w:t>
      </w:r>
      <w:r>
        <w:rPr>
          <w:rFonts w:ascii="宋体" w:eastAsia="宋体" w:hAnsi="宋体" w:cs="Times New Roman" w:hint="eastAsia"/>
          <w:kern w:val="2"/>
        </w:rPr>
        <w:t>线和采取其他防电击措施，Ⅲ类设备不应提供连接保护导体的措施。</w:t>
      </w:r>
    </w:p>
    <w:p w:rsidR="00F65813" w:rsidRDefault="00EB0B4C">
      <w:pPr>
        <w:pStyle w:val="a5"/>
        <w:widowControl w:val="0"/>
        <w:numPr>
          <w:ilvl w:val="0"/>
          <w:numId w:val="0"/>
        </w:numPr>
        <w:spacing w:beforeLines="0" w:afterLines="0"/>
        <w:rPr>
          <w:rFonts w:asciiTheme="minorEastAsia" w:eastAsiaTheme="minorEastAsia" w:hAnsiTheme="minorEastAsia"/>
        </w:rPr>
      </w:pPr>
      <w:r>
        <w:rPr>
          <w:rFonts w:hAnsi="黑体"/>
        </w:rPr>
        <w:t xml:space="preserve">7.4.5 </w:t>
      </w:r>
      <w:r>
        <w:rPr>
          <w:rFonts w:asciiTheme="minorEastAsia" w:eastAsiaTheme="minorEastAsia" w:hAnsiTheme="minorEastAsia" w:hint="eastAsia"/>
        </w:rPr>
        <w:t>景观照明供配电系统防雷装置的设计应按</w:t>
      </w:r>
      <w:r>
        <w:rPr>
          <w:rFonts w:asciiTheme="minorEastAsia" w:eastAsiaTheme="minorEastAsia" w:hAnsiTheme="minorEastAsia"/>
        </w:rPr>
        <w:t>GB/T 40250</w:t>
      </w:r>
      <w:r>
        <w:rPr>
          <w:rFonts w:asciiTheme="minorEastAsia" w:eastAsiaTheme="minorEastAsia" w:hAnsiTheme="minorEastAsia"/>
        </w:rPr>
        <w:t>执行。</w:t>
      </w:r>
    </w:p>
    <w:p w:rsidR="00F65813" w:rsidRDefault="00EB0B4C">
      <w:pPr>
        <w:pStyle w:val="a5"/>
        <w:widowControl w:val="0"/>
        <w:numPr>
          <w:ilvl w:val="0"/>
          <w:numId w:val="0"/>
        </w:numPr>
        <w:spacing w:beforeLines="0" w:afterLines="0"/>
        <w:rPr>
          <w:rFonts w:asciiTheme="minorEastAsia" w:eastAsiaTheme="minorEastAsia" w:hAnsiTheme="minorEastAsia"/>
        </w:rPr>
      </w:pPr>
      <w:r>
        <w:rPr>
          <w:rFonts w:hAnsi="黑体"/>
        </w:rPr>
        <w:t xml:space="preserve">7.4.6 </w:t>
      </w:r>
      <w:r>
        <w:rPr>
          <w:rFonts w:asciiTheme="minorEastAsia" w:eastAsiaTheme="minorEastAsia" w:hAnsiTheme="minorEastAsia" w:hint="eastAsia"/>
        </w:rPr>
        <w:t>景观照明配电箱内设置的进线总断路器，应能同时断开相线和中性线。</w:t>
      </w:r>
    </w:p>
    <w:p w:rsidR="00F65813" w:rsidRDefault="00EB0B4C">
      <w:pPr>
        <w:pStyle w:val="a5"/>
        <w:widowControl w:val="0"/>
        <w:numPr>
          <w:ilvl w:val="0"/>
          <w:numId w:val="0"/>
        </w:numPr>
        <w:spacing w:beforeLines="0" w:afterLines="0"/>
        <w:rPr>
          <w:rFonts w:asciiTheme="minorEastAsia" w:eastAsiaTheme="minorEastAsia" w:hAnsiTheme="minorEastAsia"/>
        </w:rPr>
      </w:pPr>
      <w:r>
        <w:rPr>
          <w:rFonts w:hAnsi="黑体"/>
        </w:rPr>
        <w:t xml:space="preserve">7.4.7 </w:t>
      </w:r>
      <w:r>
        <w:rPr>
          <w:rFonts w:asciiTheme="minorEastAsia" w:eastAsiaTheme="minorEastAsia" w:hAnsiTheme="minorEastAsia" w:hint="eastAsia"/>
        </w:rPr>
        <w:t>景观照明设备所有带电部分应采用绝缘、遮拦或外护物保护，距地面</w:t>
      </w:r>
      <w:r>
        <w:rPr>
          <w:rFonts w:asciiTheme="minorEastAsia" w:eastAsiaTheme="minorEastAsia" w:hAnsiTheme="minorEastAsia"/>
        </w:rPr>
        <w:t>2.8 m</w:t>
      </w:r>
      <w:r>
        <w:rPr>
          <w:rFonts w:asciiTheme="minorEastAsia" w:eastAsiaTheme="minorEastAsia" w:hAnsiTheme="minorEastAsia" w:hint="eastAsia"/>
        </w:rPr>
        <w:t>以下的照明设备应使用工具才能打开外壳进行光源维护。</w:t>
      </w:r>
    </w:p>
    <w:p w:rsidR="00F65813" w:rsidRDefault="00EB0B4C">
      <w:pPr>
        <w:pStyle w:val="a5"/>
        <w:widowControl w:val="0"/>
        <w:numPr>
          <w:ilvl w:val="0"/>
          <w:numId w:val="0"/>
        </w:numPr>
        <w:spacing w:beforeLines="0" w:afterLines="0"/>
        <w:rPr>
          <w:rFonts w:asciiTheme="minorEastAsia" w:eastAsiaTheme="minorEastAsia" w:hAnsiTheme="minorEastAsia"/>
        </w:rPr>
      </w:pPr>
      <w:r>
        <w:rPr>
          <w:rFonts w:hAnsi="黑体"/>
        </w:rPr>
        <w:t xml:space="preserve">7.4.8 </w:t>
      </w:r>
      <w:r>
        <w:rPr>
          <w:rFonts w:asciiTheme="minorEastAsia" w:eastAsiaTheme="minorEastAsia" w:hAnsiTheme="minorEastAsia" w:hint="eastAsia"/>
        </w:rPr>
        <w:t>游泳池、喷水池和戏水池等特殊场所的安全防护设计应按</w:t>
      </w:r>
      <w:r>
        <w:rPr>
          <w:rFonts w:asciiTheme="minorEastAsia" w:eastAsiaTheme="minorEastAsia" w:hAnsiTheme="minorEastAsia"/>
        </w:rPr>
        <w:t>GB/T 16895.19</w:t>
      </w:r>
      <w:r>
        <w:rPr>
          <w:rFonts w:asciiTheme="minorEastAsia" w:eastAsiaTheme="minorEastAsia" w:hAnsiTheme="minorEastAsia" w:hint="eastAsia"/>
        </w:rPr>
        <w:t>执行。</w:t>
      </w:r>
    </w:p>
    <w:p w:rsidR="00F65813" w:rsidRDefault="00EB0B4C">
      <w:pPr>
        <w:pStyle w:val="a5"/>
        <w:widowControl w:val="0"/>
        <w:numPr>
          <w:ilvl w:val="0"/>
          <w:numId w:val="0"/>
        </w:numPr>
        <w:spacing w:beforeLines="0" w:afterLines="0"/>
        <w:rPr>
          <w:rFonts w:asciiTheme="minorEastAsia" w:eastAsiaTheme="minorEastAsia" w:hAnsiTheme="minorEastAsia"/>
        </w:rPr>
      </w:pPr>
      <w:r>
        <w:rPr>
          <w:rFonts w:hAnsi="黑体"/>
        </w:rPr>
        <w:t xml:space="preserve">7.4.9 </w:t>
      </w:r>
      <w:r>
        <w:rPr>
          <w:rFonts w:asciiTheme="minorEastAsia" w:eastAsiaTheme="minorEastAsia" w:hAnsiTheme="minorEastAsia" w:hint="eastAsia"/>
        </w:rPr>
        <w:t>景观照明配电箱不应设在低洼易积水处，箱底高出地面不应低于</w:t>
      </w:r>
      <w:r>
        <w:rPr>
          <w:rFonts w:asciiTheme="minorEastAsia" w:eastAsiaTheme="minorEastAsia" w:hAnsiTheme="minorEastAsia"/>
        </w:rPr>
        <w:t>200 mm</w:t>
      </w:r>
      <w:r>
        <w:rPr>
          <w:rFonts w:asciiTheme="minorEastAsia" w:eastAsiaTheme="minorEastAsia" w:hAnsiTheme="minorEastAsia" w:hint="eastAsia"/>
        </w:rPr>
        <w:t>，配电箱底座应采取封闭措施。</w:t>
      </w:r>
    </w:p>
    <w:p w:rsidR="00F65813" w:rsidRDefault="00EB0B4C">
      <w:pPr>
        <w:pStyle w:val="a3"/>
        <w:numPr>
          <w:ilvl w:val="0"/>
          <w:numId w:val="0"/>
        </w:numPr>
        <w:spacing w:before="312" w:after="312"/>
        <w:rPr>
          <w:rFonts w:ascii="Times New Roman" w:cs="Times New Roman"/>
        </w:rPr>
      </w:pPr>
      <w:bookmarkStart w:id="210" w:name="_Toc71206580"/>
      <w:bookmarkEnd w:id="201"/>
      <w:r>
        <w:rPr>
          <w:rFonts w:ascii="Times New Roman" w:cs="Times New Roman"/>
        </w:rPr>
        <w:t xml:space="preserve">8   </w:t>
      </w:r>
      <w:r>
        <w:rPr>
          <w:rFonts w:ascii="Times New Roman" w:cs="Times New Roman" w:hint="eastAsia"/>
        </w:rPr>
        <w:t>控制</w:t>
      </w:r>
      <w:bookmarkEnd w:id="210"/>
      <w:r>
        <w:rPr>
          <w:rFonts w:ascii="Times New Roman" w:cs="Times New Roman" w:hint="eastAsia"/>
        </w:rPr>
        <w:t>要求</w:t>
      </w:r>
    </w:p>
    <w:p w:rsidR="00F65813" w:rsidRDefault="00EB0B4C">
      <w:pPr>
        <w:pStyle w:val="a4"/>
        <w:numPr>
          <w:ilvl w:val="0"/>
          <w:numId w:val="0"/>
        </w:numPr>
        <w:spacing w:before="156" w:after="156"/>
        <w:rPr>
          <w:rFonts w:ascii="Times New Roman" w:cs="Times New Roman"/>
        </w:rPr>
      </w:pPr>
      <w:r>
        <w:rPr>
          <w:rFonts w:hAnsi="黑体"/>
        </w:rPr>
        <w:t>8.1</w:t>
      </w:r>
      <w:r>
        <w:rPr>
          <w:rFonts w:ascii="Times New Roman" w:cs="Times New Roman" w:hint="eastAsia"/>
        </w:rPr>
        <w:t>一般要求</w:t>
      </w:r>
    </w:p>
    <w:p w:rsidR="00F65813" w:rsidRPr="00F65813" w:rsidRDefault="00EB0B4C">
      <w:pPr>
        <w:widowControl/>
        <w:spacing w:after="0"/>
        <w:jc w:val="left"/>
        <w:outlineLvl w:val="3"/>
        <w:rPr>
          <w:rFonts w:ascii="宋体" w:hAnsi="宋体"/>
          <w:color w:val="000000" w:themeColor="text1"/>
        </w:rPr>
      </w:pPr>
      <w:r>
        <w:rPr>
          <w:rFonts w:hAnsi="黑体"/>
        </w:rPr>
        <w:t>8.1</w:t>
      </w:r>
      <w:r>
        <w:rPr>
          <w:rFonts w:ascii="黑体" w:eastAsia="黑体" w:hAnsi="黑体"/>
        </w:rPr>
        <w:t xml:space="preserve">.1 </w:t>
      </w:r>
      <w:r>
        <w:rPr>
          <w:rFonts w:ascii="宋体" w:hAnsi="宋体" w:cs="黑体" w:hint="eastAsia"/>
        </w:rPr>
        <w:t>同一照明系统</w:t>
      </w:r>
      <w:r w:rsidR="00F65813" w:rsidRPr="00F65813">
        <w:rPr>
          <w:rFonts w:ascii="宋体" w:hAnsi="宋体" w:cs="黑体" w:hint="eastAsia"/>
          <w:color w:val="000000" w:themeColor="text1"/>
        </w:rPr>
        <w:t>内的照明设施宜分区或分组控制。可采用时控、程控和智能控制等方式，并应具备手动控制功能。</w:t>
      </w:r>
    </w:p>
    <w:p w:rsidR="00F65813" w:rsidRPr="00F65813" w:rsidRDefault="00F65813">
      <w:pPr>
        <w:widowControl/>
        <w:spacing w:after="0"/>
        <w:jc w:val="left"/>
        <w:outlineLvl w:val="3"/>
        <w:rPr>
          <w:rFonts w:ascii="宋体" w:hAnsi="宋体" w:cs="黑体"/>
          <w:color w:val="000000" w:themeColor="text1"/>
        </w:rPr>
      </w:pPr>
      <w:r w:rsidRPr="00F65813">
        <w:rPr>
          <w:rFonts w:hAnsi="黑体"/>
          <w:color w:val="000000" w:themeColor="text1"/>
        </w:rPr>
        <w:t>8.1</w:t>
      </w:r>
      <w:r w:rsidRPr="00F65813">
        <w:rPr>
          <w:rFonts w:ascii="黑体" w:eastAsia="黑体" w:hAnsi="黑体"/>
          <w:color w:val="000000" w:themeColor="text1"/>
        </w:rPr>
        <w:t xml:space="preserve">.2 </w:t>
      </w:r>
      <w:bookmarkStart w:id="211" w:name="_Hlk88682443"/>
      <w:r w:rsidRPr="00F65813">
        <w:rPr>
          <w:rFonts w:ascii="宋体" w:hAnsi="宋体" w:cs="黑体" w:hint="eastAsia"/>
          <w:color w:val="000000" w:themeColor="text1"/>
        </w:rPr>
        <w:t>应支持按照使用情况设置常态、节假日（一般节假日、重大节日</w:t>
      </w:r>
      <w:r w:rsidRPr="00F65813">
        <w:rPr>
          <w:rFonts w:ascii="宋体" w:hAnsi="宋体" w:cs="黑体" w:hint="eastAsia"/>
          <w:color w:val="FF0000"/>
        </w:rPr>
        <w:t>或重大活动）</w:t>
      </w:r>
      <w:r w:rsidRPr="00F65813">
        <w:rPr>
          <w:rFonts w:ascii="宋体" w:hAnsi="宋体" w:cs="黑体" w:hint="eastAsia"/>
          <w:color w:val="000000" w:themeColor="text1"/>
        </w:rPr>
        <w:t>等不同的开灯控制模式。常态</w:t>
      </w:r>
      <w:r w:rsidRPr="00F65813">
        <w:rPr>
          <w:rFonts w:ascii="宋体" w:hAnsi="宋体" w:cs="黑体"/>
          <w:color w:val="000000" w:themeColor="text1"/>
        </w:rPr>
        <w:t>开灯</w:t>
      </w:r>
      <w:r w:rsidRPr="00F65813">
        <w:rPr>
          <w:rFonts w:ascii="宋体" w:hAnsi="宋体" w:cs="黑体" w:hint="eastAsia"/>
          <w:color w:val="000000" w:themeColor="text1"/>
        </w:rPr>
        <w:t>时间为</w:t>
      </w:r>
      <w:r w:rsidRPr="00F65813">
        <w:rPr>
          <w:rFonts w:ascii="宋体" w:hAnsi="宋体" w:cs="黑体"/>
          <w:color w:val="000000" w:themeColor="text1"/>
        </w:rPr>
        <w:t>5月1日~9</w:t>
      </w:r>
      <w:r w:rsidRPr="00F65813">
        <w:rPr>
          <w:rFonts w:ascii="宋体" w:hAnsi="宋体" w:cs="黑体" w:hint="eastAsia"/>
          <w:color w:val="000000" w:themeColor="text1"/>
        </w:rPr>
        <w:t>月</w:t>
      </w:r>
      <w:r w:rsidRPr="00F65813">
        <w:rPr>
          <w:rFonts w:ascii="宋体" w:hAnsi="宋体" w:cs="黑体"/>
          <w:color w:val="000000" w:themeColor="text1"/>
        </w:rPr>
        <w:t>30日的19:00~23:00，10月1日~次年4月30日的17:30~22:00</w:t>
      </w:r>
      <w:bookmarkEnd w:id="211"/>
      <w:r w:rsidRPr="00F65813">
        <w:rPr>
          <w:rFonts w:ascii="宋体" w:hAnsi="宋体" w:cs="黑体" w:hint="eastAsia"/>
          <w:color w:val="000000" w:themeColor="text1"/>
        </w:rPr>
        <w:t>。</w:t>
      </w:r>
    </w:p>
    <w:p w:rsidR="00F65813" w:rsidRPr="00F65813" w:rsidRDefault="00F65813">
      <w:pPr>
        <w:widowControl/>
        <w:spacing w:after="0"/>
        <w:jc w:val="left"/>
        <w:outlineLvl w:val="3"/>
        <w:rPr>
          <w:rFonts w:ascii="宋体" w:hAnsi="宋体" w:cs="黑体"/>
          <w:color w:val="000000" w:themeColor="text1"/>
        </w:rPr>
      </w:pPr>
      <w:r w:rsidRPr="00F65813">
        <w:rPr>
          <w:rFonts w:hAnsi="黑体"/>
          <w:color w:val="000000" w:themeColor="text1"/>
        </w:rPr>
        <w:t>8.1</w:t>
      </w:r>
      <w:r w:rsidRPr="00F65813">
        <w:rPr>
          <w:rFonts w:ascii="黑体" w:eastAsia="黑体" w:hAnsi="黑体"/>
          <w:color w:val="000000" w:themeColor="text1"/>
        </w:rPr>
        <w:t xml:space="preserve">.3 </w:t>
      </w:r>
      <w:r w:rsidRPr="00F65813">
        <w:rPr>
          <w:rFonts w:ascii="宋体" w:hAnsi="宋体" w:cs="黑体" w:hint="eastAsia"/>
          <w:color w:val="000000" w:themeColor="text1"/>
        </w:rPr>
        <w:t>景观照明控制系统防雷装置的设计应按</w:t>
      </w:r>
      <w:r w:rsidRPr="00F65813">
        <w:rPr>
          <w:rFonts w:ascii="宋体" w:hAnsi="宋体" w:cs="黑体"/>
          <w:color w:val="000000" w:themeColor="text1"/>
        </w:rPr>
        <w:t>GB/T 40250执行。</w:t>
      </w:r>
    </w:p>
    <w:p w:rsidR="00F65813" w:rsidRDefault="00EB0B4C">
      <w:pPr>
        <w:pStyle w:val="a4"/>
        <w:numPr>
          <w:ilvl w:val="0"/>
          <w:numId w:val="0"/>
        </w:numPr>
        <w:spacing w:before="156" w:after="156"/>
        <w:rPr>
          <w:rFonts w:ascii="Times New Roman" w:cs="Times New Roman"/>
        </w:rPr>
      </w:pPr>
      <w:bookmarkStart w:id="212" w:name="_Toc71206581"/>
      <w:r>
        <w:rPr>
          <w:rFonts w:hAnsi="黑体"/>
        </w:rPr>
        <w:t xml:space="preserve">8.2 </w:t>
      </w:r>
      <w:r>
        <w:rPr>
          <w:rFonts w:ascii="Times New Roman" w:cs="Times New Roman" w:hint="eastAsia"/>
        </w:rPr>
        <w:t>照明控制</w:t>
      </w:r>
      <w:bookmarkEnd w:id="212"/>
    </w:p>
    <w:p w:rsidR="00F65813" w:rsidRDefault="00EB0B4C">
      <w:pPr>
        <w:widowControl/>
        <w:spacing w:after="0"/>
        <w:ind w:firstLineChars="200" w:firstLine="420"/>
        <w:jc w:val="left"/>
        <w:outlineLvl w:val="3"/>
        <w:rPr>
          <w:rFonts w:ascii="宋体" w:hAnsi="宋体" w:cs="黑体"/>
        </w:rPr>
      </w:pPr>
      <w:r>
        <w:rPr>
          <w:rFonts w:ascii="宋体" w:hAnsi="宋体" w:cs="黑体" w:hint="eastAsia"/>
        </w:rPr>
        <w:lastRenderedPageBreak/>
        <w:t>景观照明采用智能控制时，应具有如下功能：</w:t>
      </w:r>
    </w:p>
    <w:p w:rsidR="00F65813" w:rsidRDefault="00EB0B4C">
      <w:pPr>
        <w:pStyle w:val="a4"/>
        <w:numPr>
          <w:ilvl w:val="0"/>
          <w:numId w:val="0"/>
        </w:numPr>
        <w:spacing w:beforeLines="0" w:afterLines="0"/>
        <w:ind w:left="420"/>
        <w:outlineLvl w:val="9"/>
        <w:rPr>
          <w:rFonts w:ascii="Times New Roman" w:cs="Times New Roman"/>
        </w:rPr>
      </w:pPr>
      <w:r>
        <w:rPr>
          <w:rFonts w:ascii="Times New Roman" w:eastAsia="宋体" w:cs="Times New Roman" w:hint="eastAsia"/>
        </w:rPr>
        <w:t>a</w:t>
      </w:r>
      <w:r>
        <w:rPr>
          <w:rFonts w:ascii="Times New Roman" w:eastAsia="宋体" w:cs="Times New Roman"/>
        </w:rPr>
        <w:t xml:space="preserve">)  </w:t>
      </w:r>
      <w:r>
        <w:rPr>
          <w:rFonts w:ascii="Times New Roman" w:eastAsia="宋体" w:cs="Times New Roman" w:hint="eastAsia"/>
        </w:rPr>
        <w:t>应具备对景观照明配电回路启闭控制和动态场景调用、切换等控制功能；</w:t>
      </w:r>
    </w:p>
    <w:p w:rsidR="00F65813" w:rsidRDefault="00EB0B4C">
      <w:pPr>
        <w:pStyle w:val="a4"/>
        <w:numPr>
          <w:ilvl w:val="0"/>
          <w:numId w:val="0"/>
        </w:numPr>
        <w:spacing w:beforeLines="0" w:afterLines="0"/>
        <w:ind w:left="420"/>
        <w:outlineLvl w:val="9"/>
        <w:rPr>
          <w:rFonts w:ascii="Times New Roman" w:cs="Times New Roman"/>
        </w:rPr>
      </w:pPr>
      <w:r>
        <w:rPr>
          <w:rFonts w:ascii="Times New Roman" w:eastAsia="宋体" w:cs="Times New Roman" w:hint="eastAsia"/>
        </w:rPr>
        <w:t>b</w:t>
      </w:r>
      <w:r>
        <w:rPr>
          <w:rFonts w:ascii="Times New Roman" w:eastAsia="宋体" w:cs="Times New Roman"/>
        </w:rPr>
        <w:t xml:space="preserve">)  </w:t>
      </w:r>
      <w:r>
        <w:rPr>
          <w:rFonts w:ascii="Times New Roman" w:eastAsia="宋体" w:cs="Times New Roman" w:hint="eastAsia"/>
        </w:rPr>
        <w:t>应具备分时、分区灯光控制功能；</w:t>
      </w:r>
    </w:p>
    <w:p w:rsidR="00F65813" w:rsidRDefault="00EB0B4C">
      <w:pPr>
        <w:pStyle w:val="a4"/>
        <w:numPr>
          <w:ilvl w:val="0"/>
          <w:numId w:val="0"/>
        </w:numPr>
        <w:spacing w:beforeLines="0" w:afterLines="0"/>
        <w:ind w:left="420"/>
        <w:outlineLvl w:val="9"/>
        <w:rPr>
          <w:rFonts w:ascii="Times New Roman" w:cs="Times New Roman"/>
        </w:rPr>
      </w:pPr>
      <w:r>
        <w:rPr>
          <w:rFonts w:ascii="Times New Roman" w:eastAsia="宋体" w:cs="Times New Roman"/>
        </w:rPr>
        <w:t xml:space="preserve">c)  </w:t>
      </w:r>
      <w:r>
        <w:rPr>
          <w:rFonts w:ascii="Times New Roman" w:eastAsia="宋体" w:cs="Times New Roman" w:hint="eastAsia"/>
        </w:rPr>
        <w:t>应具备校时功能，并支持卫星校时、网络校时等方式；</w:t>
      </w:r>
    </w:p>
    <w:p w:rsidR="00F65813" w:rsidRDefault="00EB0B4C">
      <w:pPr>
        <w:pStyle w:val="a4"/>
        <w:numPr>
          <w:ilvl w:val="0"/>
          <w:numId w:val="0"/>
        </w:numPr>
        <w:spacing w:beforeLines="0" w:afterLines="0"/>
        <w:ind w:left="420"/>
        <w:outlineLvl w:val="9"/>
        <w:rPr>
          <w:rFonts w:ascii="Times New Roman" w:cs="Times New Roman"/>
        </w:rPr>
      </w:pPr>
      <w:r>
        <w:rPr>
          <w:rFonts w:ascii="Times New Roman" w:eastAsia="宋体" w:cs="Times New Roman" w:hint="eastAsia"/>
        </w:rPr>
        <w:t>d</w:t>
      </w:r>
      <w:r>
        <w:rPr>
          <w:rFonts w:ascii="Times New Roman" w:eastAsia="宋体" w:cs="Times New Roman"/>
        </w:rPr>
        <w:t xml:space="preserve">)  </w:t>
      </w:r>
      <w:r>
        <w:rPr>
          <w:rFonts w:ascii="Times New Roman" w:eastAsia="宋体" w:cs="Times New Roman" w:hint="eastAsia"/>
        </w:rPr>
        <w:t>可监测在线工作的各种参数，如灯光的演绎变化以及电流、电压、有功、无功、零序电流等基本供电系统参数；</w:t>
      </w:r>
    </w:p>
    <w:p w:rsidR="00F65813" w:rsidRDefault="00EB0B4C">
      <w:pPr>
        <w:pStyle w:val="a4"/>
        <w:numPr>
          <w:ilvl w:val="0"/>
          <w:numId w:val="0"/>
        </w:numPr>
        <w:spacing w:beforeLines="0" w:afterLines="0"/>
        <w:ind w:left="420"/>
        <w:outlineLvl w:val="9"/>
        <w:rPr>
          <w:rFonts w:ascii="Times New Roman" w:cs="Times New Roman"/>
        </w:rPr>
      </w:pPr>
      <w:r>
        <w:rPr>
          <w:rFonts w:ascii="Times New Roman" w:eastAsia="宋体" w:cs="Times New Roman"/>
        </w:rPr>
        <w:t xml:space="preserve">e)  </w:t>
      </w:r>
      <w:r>
        <w:rPr>
          <w:rFonts w:ascii="Times New Roman" w:eastAsia="宋体" w:cs="Times New Roman" w:hint="eastAsia"/>
        </w:rPr>
        <w:t>可监测故障状态，存储故障信息，如故障类型、故障时间等；</w:t>
      </w:r>
    </w:p>
    <w:p w:rsidR="00F65813" w:rsidRDefault="00EB0B4C">
      <w:pPr>
        <w:pStyle w:val="a4"/>
        <w:numPr>
          <w:ilvl w:val="0"/>
          <w:numId w:val="0"/>
        </w:numPr>
        <w:spacing w:beforeLines="0" w:afterLines="0"/>
        <w:ind w:left="420"/>
        <w:outlineLvl w:val="9"/>
        <w:rPr>
          <w:rFonts w:ascii="Times New Roman" w:cs="Times New Roman"/>
        </w:rPr>
      </w:pPr>
      <w:r>
        <w:rPr>
          <w:rFonts w:ascii="Times New Roman" w:eastAsia="宋体" w:cs="Times New Roman"/>
        </w:rPr>
        <w:t xml:space="preserve">f)  </w:t>
      </w:r>
      <w:r>
        <w:rPr>
          <w:rFonts w:ascii="Times New Roman" w:eastAsia="宋体" w:cs="Times New Roman" w:hint="eastAsia"/>
        </w:rPr>
        <w:t>景观照明核心区域、重点区域，应具备景观照明的一键启闭、一键调用动态节目、一键切换亮灯模式等控制功能；</w:t>
      </w:r>
    </w:p>
    <w:p w:rsidR="00F65813" w:rsidRDefault="00EB0B4C">
      <w:pPr>
        <w:pStyle w:val="a4"/>
        <w:numPr>
          <w:ilvl w:val="0"/>
          <w:numId w:val="0"/>
        </w:numPr>
        <w:spacing w:beforeLines="0" w:afterLines="0"/>
        <w:ind w:left="420"/>
        <w:outlineLvl w:val="9"/>
        <w:rPr>
          <w:rFonts w:ascii="Times New Roman" w:cs="Times New Roman"/>
        </w:rPr>
      </w:pPr>
      <w:r>
        <w:rPr>
          <w:rFonts w:ascii="Times New Roman" w:eastAsia="宋体" w:cs="Times New Roman" w:hint="eastAsia"/>
        </w:rPr>
        <w:t>g</w:t>
      </w:r>
      <w:r>
        <w:rPr>
          <w:rFonts w:ascii="Times New Roman" w:eastAsia="宋体" w:cs="Times New Roman"/>
        </w:rPr>
        <w:t xml:space="preserve">)  </w:t>
      </w:r>
      <w:r>
        <w:rPr>
          <w:rFonts w:ascii="Times New Roman" w:eastAsia="宋体" w:cs="Times New Roman" w:hint="eastAsia"/>
        </w:rPr>
        <w:t>具备标准的通信接口和协议，可实现局域网、城市网的联网控制；</w:t>
      </w:r>
    </w:p>
    <w:p w:rsidR="00F65813" w:rsidRDefault="00EB0B4C">
      <w:pPr>
        <w:pStyle w:val="a4"/>
        <w:numPr>
          <w:ilvl w:val="0"/>
          <w:numId w:val="0"/>
        </w:numPr>
        <w:spacing w:beforeLines="0" w:afterLines="0"/>
        <w:ind w:left="420"/>
        <w:outlineLvl w:val="9"/>
        <w:rPr>
          <w:rFonts w:ascii="Times New Roman" w:cs="Times New Roman"/>
        </w:rPr>
      </w:pPr>
      <w:r>
        <w:rPr>
          <w:rFonts w:ascii="Times New Roman" w:eastAsia="宋体" w:cs="Times New Roman"/>
        </w:rPr>
        <w:t xml:space="preserve">h)  </w:t>
      </w:r>
      <w:r>
        <w:rPr>
          <w:rFonts w:ascii="Times New Roman" w:eastAsia="宋体" w:cs="Times New Roman" w:hint="eastAsia"/>
        </w:rPr>
        <w:t>系统结构灵活，修改、扩展方便。</w:t>
      </w:r>
    </w:p>
    <w:p w:rsidR="00F65813" w:rsidRDefault="00EB0B4C">
      <w:pPr>
        <w:pStyle w:val="a4"/>
        <w:numPr>
          <w:ilvl w:val="0"/>
          <w:numId w:val="0"/>
        </w:numPr>
        <w:spacing w:before="156" w:after="156"/>
        <w:rPr>
          <w:rFonts w:ascii="Times New Roman" w:cs="Times New Roman"/>
        </w:rPr>
      </w:pPr>
      <w:bookmarkStart w:id="213" w:name="_Toc71206582"/>
      <w:r>
        <w:rPr>
          <w:rFonts w:hAnsi="黑体"/>
        </w:rPr>
        <w:t xml:space="preserve">8.3  </w:t>
      </w:r>
      <w:r>
        <w:rPr>
          <w:rFonts w:ascii="Times New Roman" w:cs="Times New Roman" w:hint="eastAsia"/>
        </w:rPr>
        <w:t>集中控制</w:t>
      </w:r>
      <w:bookmarkEnd w:id="213"/>
    </w:p>
    <w:p w:rsidR="00F65813" w:rsidRDefault="00EB0B4C">
      <w:pPr>
        <w:widowControl/>
        <w:spacing w:after="0"/>
        <w:jc w:val="left"/>
        <w:outlineLvl w:val="3"/>
        <w:rPr>
          <w:rFonts w:ascii="宋体" w:hAnsi="宋体" w:cs="黑体"/>
        </w:rPr>
      </w:pPr>
      <w:r>
        <w:rPr>
          <w:rFonts w:ascii="黑体" w:eastAsia="黑体" w:hAnsi="黑体" w:cs="黑体"/>
          <w:kern w:val="0"/>
        </w:rPr>
        <w:t>8.3.1</w:t>
      </w:r>
      <w:r>
        <w:rPr>
          <w:rFonts w:ascii="宋体" w:hAnsi="宋体" w:cs="黑体" w:hint="eastAsia"/>
        </w:rPr>
        <w:t>景观照明控制系统包括：集中控制中心、通信网络和集控终端等。</w:t>
      </w:r>
    </w:p>
    <w:p w:rsidR="00F65813" w:rsidRDefault="00EB0B4C">
      <w:pPr>
        <w:widowControl/>
        <w:spacing w:after="0"/>
        <w:jc w:val="left"/>
        <w:outlineLvl w:val="3"/>
        <w:rPr>
          <w:rFonts w:ascii="宋体" w:hAnsi="宋体" w:cs="黑体"/>
        </w:rPr>
      </w:pPr>
      <w:r>
        <w:rPr>
          <w:rFonts w:ascii="黑体" w:eastAsia="黑体" w:hAnsi="黑体" w:cs="黑体"/>
          <w:kern w:val="0"/>
        </w:rPr>
        <w:t xml:space="preserve">8.3.2 </w:t>
      </w:r>
      <w:r>
        <w:rPr>
          <w:rFonts w:ascii="宋体" w:hAnsi="宋体" w:cs="黑体" w:hint="eastAsia"/>
        </w:rPr>
        <w:t>集中控制系统对所纳入的景观照明的开启关闭、照明模式、整体效果等实行统一控制。重大活动期间，区级景观照明集中控制系统应遵守市级集中控制要求。</w:t>
      </w:r>
    </w:p>
    <w:p w:rsidR="00F65813" w:rsidRDefault="00EB0B4C">
      <w:pPr>
        <w:widowControl/>
        <w:spacing w:after="0"/>
        <w:outlineLvl w:val="3"/>
        <w:rPr>
          <w:rFonts w:ascii="宋体" w:hAnsi="宋体" w:cs="黑体"/>
        </w:rPr>
      </w:pPr>
      <w:r>
        <w:rPr>
          <w:rFonts w:ascii="黑体" w:eastAsia="黑体" w:hAnsi="黑体" w:cs="黑体"/>
          <w:kern w:val="0"/>
        </w:rPr>
        <w:t xml:space="preserve">8.3.3 </w:t>
      </w:r>
      <w:bookmarkStart w:id="214" w:name="_Hlk88682504"/>
      <w:r w:rsidR="00F65813" w:rsidRPr="00F65813">
        <w:rPr>
          <w:rFonts w:ascii="宋体" w:hAnsi="宋体" w:cs="黑体" w:hint="eastAsia"/>
        </w:rPr>
        <w:t>核心区域、重要区域内以及在重要单体建（构）筑物上设置的景观照明，应分别纳入市级、区级景观照明集中控制系统。</w:t>
      </w:r>
      <w:bookmarkEnd w:id="214"/>
    </w:p>
    <w:p w:rsidR="00F65813" w:rsidRDefault="00EB0B4C">
      <w:pPr>
        <w:widowControl/>
        <w:spacing w:after="0"/>
        <w:outlineLvl w:val="3"/>
        <w:rPr>
          <w:rFonts w:ascii="宋体" w:hAnsi="宋体" w:cs="黑体"/>
        </w:rPr>
      </w:pPr>
      <w:r>
        <w:rPr>
          <w:rFonts w:ascii="黑体" w:eastAsia="黑体" w:hAnsi="黑体" w:cs="黑体"/>
          <w:kern w:val="0"/>
        </w:rPr>
        <w:t xml:space="preserve">8.3.4 </w:t>
      </w:r>
      <w:r>
        <w:rPr>
          <w:rFonts w:ascii="宋体" w:hAnsi="宋体" w:cs="黑体" w:hint="eastAsia"/>
        </w:rPr>
        <w:t>集中控制中心应具备系统管理、设备管理、景观照明控制、数据管理、可视化管理、运维管理、统计分析、现场图像监控、数据交换等功能。</w:t>
      </w:r>
    </w:p>
    <w:p w:rsidR="00F65813" w:rsidRDefault="00EB0B4C">
      <w:pPr>
        <w:widowControl/>
        <w:spacing w:after="0"/>
        <w:jc w:val="left"/>
        <w:outlineLvl w:val="3"/>
        <w:rPr>
          <w:rFonts w:ascii="宋体" w:hAnsi="宋体" w:cs="黑体"/>
        </w:rPr>
      </w:pPr>
      <w:r>
        <w:rPr>
          <w:rFonts w:ascii="黑体" w:eastAsia="黑体" w:hAnsi="黑体" w:cs="黑体"/>
          <w:kern w:val="0"/>
        </w:rPr>
        <w:t xml:space="preserve">8.3.5 </w:t>
      </w:r>
      <w:r>
        <w:rPr>
          <w:rFonts w:ascii="宋体" w:hAnsi="宋体" w:cs="黑体" w:hint="eastAsia"/>
        </w:rPr>
        <w:t>集中控制终端应具备现场照明状态</w:t>
      </w:r>
      <w:r>
        <w:rPr>
          <w:rFonts w:ascii="宋体" w:hAnsi="宋体" w:cs="黑体" w:hint="eastAsia"/>
        </w:rPr>
        <w:t>、能耗数据采集及上传、远程遥控开关及场景设置、报警数据采集及上报、终端自动诊断及复位、终端参数远程下发等功能。</w:t>
      </w:r>
    </w:p>
    <w:p w:rsidR="00F65813" w:rsidRDefault="00EB0B4C">
      <w:pPr>
        <w:widowControl/>
        <w:spacing w:after="0"/>
        <w:jc w:val="left"/>
        <w:outlineLvl w:val="3"/>
        <w:rPr>
          <w:rFonts w:ascii="宋体" w:hAnsi="宋体" w:cs="黑体"/>
        </w:rPr>
      </w:pPr>
      <w:r>
        <w:rPr>
          <w:rFonts w:ascii="黑体" w:eastAsia="黑体" w:hAnsi="黑体" w:cs="黑体"/>
          <w:kern w:val="0"/>
        </w:rPr>
        <w:t xml:space="preserve">8.3.6 </w:t>
      </w:r>
      <w:r>
        <w:rPr>
          <w:rFonts w:ascii="宋体" w:hAnsi="宋体" w:cs="黑体" w:hint="eastAsia"/>
        </w:rPr>
        <w:t>通信网络可包括政务外网、数据专线及互联网等有（无）线网络；重点景观照明控制区域控制终端接入应采用有线、无线专线接入，且应配置冗余链路。</w:t>
      </w:r>
    </w:p>
    <w:p w:rsidR="00F65813" w:rsidRDefault="00EB0B4C">
      <w:pPr>
        <w:widowControl/>
        <w:spacing w:after="0"/>
        <w:outlineLvl w:val="3"/>
        <w:rPr>
          <w:rFonts w:ascii="宋体" w:hAnsi="宋体" w:cs="黑体"/>
        </w:rPr>
      </w:pPr>
      <w:r>
        <w:rPr>
          <w:rFonts w:ascii="黑体" w:eastAsia="黑体" w:hAnsi="黑体" w:cs="黑体"/>
          <w:kern w:val="0"/>
        </w:rPr>
        <w:t xml:space="preserve">8.3.7 </w:t>
      </w:r>
      <w:r>
        <w:rPr>
          <w:rFonts w:ascii="宋体" w:hAnsi="宋体" w:cs="黑体" w:hint="eastAsia"/>
        </w:rPr>
        <w:t>景观照明集控系统信息安全建设标准应不低于</w:t>
      </w:r>
      <w:r>
        <w:rPr>
          <w:rFonts w:asciiTheme="minorEastAsia" w:eastAsiaTheme="minorEastAsia" w:hAnsiTheme="minorEastAsia" w:cs="黑体"/>
        </w:rPr>
        <w:t>GB/T 22239</w:t>
      </w:r>
      <w:r>
        <w:rPr>
          <w:rFonts w:asciiTheme="minorEastAsia" w:eastAsiaTheme="minorEastAsia" w:hAnsiTheme="minorEastAsia"/>
        </w:rPr>
        <w:t>—</w:t>
      </w:r>
      <w:r>
        <w:rPr>
          <w:rFonts w:asciiTheme="minorEastAsia" w:eastAsiaTheme="minorEastAsia" w:hAnsiTheme="minorEastAsia" w:cs="黑体"/>
        </w:rPr>
        <w:t>2019</w:t>
      </w:r>
      <w:r>
        <w:rPr>
          <w:rFonts w:ascii="宋体" w:hAnsi="宋体" w:cs="黑体" w:hint="eastAsia"/>
        </w:rPr>
        <w:t>等级保护第二级的要求；应配置防火墙、入侵检测、堡垒机等安全设备；集中控制中心同集控终端间数据通信应采用加密技术。</w:t>
      </w:r>
    </w:p>
    <w:p w:rsidR="00F65813" w:rsidRDefault="00EB0B4C">
      <w:pPr>
        <w:pStyle w:val="a3"/>
        <w:numPr>
          <w:ilvl w:val="0"/>
          <w:numId w:val="0"/>
        </w:numPr>
        <w:spacing w:before="312" w:after="312"/>
        <w:rPr>
          <w:rFonts w:ascii="Times New Roman" w:cs="Times New Roman"/>
        </w:rPr>
      </w:pPr>
      <w:bookmarkStart w:id="215" w:name="_Toc71206583"/>
      <w:bookmarkEnd w:id="202"/>
      <w:r>
        <w:rPr>
          <w:rFonts w:ascii="Times New Roman" w:cs="Times New Roman"/>
        </w:rPr>
        <w:t xml:space="preserve">9   </w:t>
      </w:r>
      <w:r>
        <w:rPr>
          <w:rFonts w:ascii="Times New Roman" w:cs="Times New Roman" w:hint="eastAsia"/>
        </w:rPr>
        <w:t>施工要求</w:t>
      </w:r>
      <w:bookmarkEnd w:id="215"/>
    </w:p>
    <w:p w:rsidR="00F65813" w:rsidRDefault="00EB0B4C">
      <w:pPr>
        <w:pStyle w:val="a4"/>
        <w:numPr>
          <w:ilvl w:val="0"/>
          <w:numId w:val="0"/>
        </w:numPr>
        <w:spacing w:before="156" w:after="156"/>
        <w:rPr>
          <w:rFonts w:ascii="Times New Roman" w:cs="Times New Roman"/>
        </w:rPr>
      </w:pPr>
      <w:bookmarkStart w:id="216" w:name="_Toc71206584"/>
      <w:r>
        <w:rPr>
          <w:rFonts w:hAnsi="黑体"/>
        </w:rPr>
        <w:t xml:space="preserve">9.1 </w:t>
      </w:r>
      <w:r>
        <w:rPr>
          <w:rFonts w:ascii="Times New Roman" w:cs="Times New Roman" w:hint="eastAsia"/>
        </w:rPr>
        <w:t>一般要求</w:t>
      </w:r>
      <w:bookmarkEnd w:id="216"/>
    </w:p>
    <w:p w:rsidR="00F65813" w:rsidRDefault="00EB0B4C">
      <w:pPr>
        <w:widowControl/>
        <w:spacing w:after="0"/>
        <w:jc w:val="left"/>
        <w:outlineLvl w:val="3"/>
        <w:rPr>
          <w:rFonts w:ascii="宋体" w:hAnsi="宋体" w:cs="黑体"/>
        </w:rPr>
      </w:pPr>
      <w:r>
        <w:rPr>
          <w:rFonts w:ascii="黑体" w:eastAsia="黑体" w:hAnsi="黑体" w:cs="黑体"/>
        </w:rPr>
        <w:t>9.1.1</w:t>
      </w:r>
      <w:r>
        <w:rPr>
          <w:rFonts w:ascii="宋体" w:hAnsi="宋体" w:cs="黑体" w:hint="eastAsia"/>
        </w:rPr>
        <w:t>工程的施工</w:t>
      </w:r>
      <w:r>
        <w:rPr>
          <w:rFonts w:ascii="宋体" w:hAnsi="宋体" w:cs="黑体" w:hint="eastAsia"/>
        </w:rPr>
        <w:t>应符合</w:t>
      </w:r>
      <w:r>
        <w:rPr>
          <w:rFonts w:ascii="宋体" w:hAnsi="宋体" w:cs="黑体"/>
        </w:rPr>
        <w:t>GB/T 40250</w:t>
      </w:r>
      <w:r>
        <w:rPr>
          <w:rFonts w:ascii="宋体" w:hAnsi="宋体" w:cs="黑体" w:hint="eastAsia"/>
        </w:rPr>
        <w:t>、</w:t>
      </w:r>
      <w:r>
        <w:rPr>
          <w:rFonts w:ascii="宋体" w:hAnsi="宋体" w:cs="黑体"/>
        </w:rPr>
        <w:t>GB 50300</w:t>
      </w:r>
      <w:r>
        <w:rPr>
          <w:rFonts w:ascii="宋体" w:hAnsi="宋体" w:cs="黑体" w:hint="eastAsia"/>
        </w:rPr>
        <w:t>、</w:t>
      </w:r>
      <w:r>
        <w:rPr>
          <w:rFonts w:ascii="宋体" w:hAnsi="宋体" w:cs="黑体"/>
        </w:rPr>
        <w:t>GB 50303</w:t>
      </w:r>
      <w:r>
        <w:rPr>
          <w:rFonts w:ascii="宋体" w:hAnsi="宋体" w:cs="黑体" w:hint="eastAsia"/>
        </w:rPr>
        <w:t>、</w:t>
      </w:r>
      <w:r>
        <w:rPr>
          <w:rFonts w:ascii="宋体" w:hAnsi="宋体" w:cs="黑体"/>
        </w:rPr>
        <w:t>GB 50617</w:t>
      </w:r>
      <w:r>
        <w:rPr>
          <w:rFonts w:ascii="宋体" w:hAnsi="宋体" w:cs="黑体" w:hint="eastAsia"/>
        </w:rPr>
        <w:t>及国家现行有关标准、规范和图集的规定。工程施工应实行工程监理制，由工程监理按照国家现行的施工规范、标准全程监督管理工程项目的施工实施状况、施工工程质量和施工进度。</w:t>
      </w:r>
    </w:p>
    <w:p w:rsidR="00F65813" w:rsidRDefault="00EB0B4C">
      <w:pPr>
        <w:widowControl/>
        <w:spacing w:after="0"/>
        <w:jc w:val="left"/>
        <w:outlineLvl w:val="3"/>
        <w:rPr>
          <w:rFonts w:ascii="宋体" w:hAnsi="宋体" w:cs="黑体"/>
        </w:rPr>
      </w:pPr>
      <w:r>
        <w:rPr>
          <w:rFonts w:ascii="黑体" w:eastAsia="黑体" w:hAnsi="黑体" w:cs="黑体"/>
        </w:rPr>
        <w:t xml:space="preserve">9.1.2 </w:t>
      </w:r>
      <w:r>
        <w:rPr>
          <w:rFonts w:ascii="宋体" w:hAnsi="宋体" w:cs="黑体" w:hint="eastAsia"/>
        </w:rPr>
        <w:t>工程开始施工前，施工单位应按施工图做好施工准备，进行施工图会审，编制施工组织设计方案，按图施工。</w:t>
      </w:r>
    </w:p>
    <w:p w:rsidR="00F65813" w:rsidRDefault="00EB0B4C">
      <w:pPr>
        <w:widowControl/>
        <w:spacing w:after="0"/>
        <w:outlineLvl w:val="3"/>
        <w:rPr>
          <w:rFonts w:ascii="宋体" w:hAnsi="宋体" w:cs="黑体"/>
        </w:rPr>
      </w:pPr>
      <w:r>
        <w:rPr>
          <w:rFonts w:ascii="黑体" w:eastAsia="黑体" w:hAnsi="黑体" w:cs="黑体"/>
        </w:rPr>
        <w:t xml:space="preserve">9.1.3 </w:t>
      </w:r>
      <w:r>
        <w:rPr>
          <w:rFonts w:ascii="宋体" w:hAnsi="宋体" w:cs="黑体" w:hint="eastAsia"/>
        </w:rPr>
        <w:t>工程施工前，施工单位应与设计单位、建设单位共同进行现场试灯工作，以检验拟选用的灯具能否达到设计的参数和方案效果要求，并对确认的灯具、设备等主要材料</w:t>
      </w:r>
      <w:r>
        <w:rPr>
          <w:rFonts w:ascii="宋体" w:hAnsi="宋体" w:cs="黑体" w:hint="eastAsia"/>
        </w:rPr>
        <w:t>进行封样后方可进行采购。</w:t>
      </w:r>
    </w:p>
    <w:p w:rsidR="00F65813" w:rsidRDefault="00EB0B4C">
      <w:pPr>
        <w:widowControl/>
        <w:spacing w:after="0"/>
        <w:jc w:val="left"/>
        <w:outlineLvl w:val="3"/>
        <w:rPr>
          <w:rFonts w:ascii="宋体" w:hAnsi="宋体" w:cs="黑体"/>
        </w:rPr>
      </w:pPr>
      <w:r>
        <w:rPr>
          <w:rFonts w:ascii="黑体" w:eastAsia="黑体" w:hAnsi="黑体" w:cs="黑体"/>
        </w:rPr>
        <w:t xml:space="preserve">9.1.4 </w:t>
      </w:r>
      <w:r>
        <w:rPr>
          <w:rFonts w:ascii="宋体" w:hAnsi="宋体" w:cs="黑体" w:hint="eastAsia"/>
        </w:rPr>
        <w:t>工程施工宜先进行样板段的施工，待确认好施工方案、工艺、效果后才可进行整体工程的施工。</w:t>
      </w:r>
    </w:p>
    <w:p w:rsidR="00F65813" w:rsidRDefault="00EB0B4C">
      <w:pPr>
        <w:widowControl/>
        <w:spacing w:after="0"/>
        <w:jc w:val="left"/>
        <w:outlineLvl w:val="3"/>
        <w:rPr>
          <w:rFonts w:ascii="宋体" w:hAnsi="宋体" w:cs="黑体"/>
        </w:rPr>
      </w:pPr>
      <w:r>
        <w:rPr>
          <w:rFonts w:ascii="黑体" w:eastAsia="黑体" w:hAnsi="黑体" w:cs="黑体"/>
        </w:rPr>
        <w:t xml:space="preserve">9.1.5 </w:t>
      </w:r>
      <w:r>
        <w:rPr>
          <w:rFonts w:ascii="宋体" w:hAnsi="宋体" w:cs="黑体" w:hint="eastAsia"/>
        </w:rPr>
        <w:t>设备、材料及配件进入施工现场应有清单、使用说明书、合格证明、检验报告等文件，属于强制性认证范围的应提供认证证书。</w:t>
      </w:r>
    </w:p>
    <w:p w:rsidR="00F65813" w:rsidRDefault="00EB0B4C">
      <w:pPr>
        <w:widowControl/>
        <w:spacing w:after="0"/>
        <w:jc w:val="left"/>
        <w:outlineLvl w:val="3"/>
        <w:rPr>
          <w:rFonts w:ascii="宋体" w:hAnsi="宋体" w:cs="黑体"/>
        </w:rPr>
      </w:pPr>
      <w:r>
        <w:rPr>
          <w:rFonts w:ascii="黑体" w:eastAsia="黑体" w:hAnsi="黑体" w:cs="黑体"/>
        </w:rPr>
        <w:lastRenderedPageBreak/>
        <w:t xml:space="preserve">9.1.6 </w:t>
      </w:r>
      <w:r>
        <w:rPr>
          <w:rFonts w:ascii="宋体" w:hAnsi="宋体" w:cs="黑体" w:hint="eastAsia"/>
        </w:rPr>
        <w:t>高空作业的工程项目，应编制专项高空施工方案提交审批；在现场施工时应采取上下看护措施；涉及到人行道占用的，应搭设安全通道。</w:t>
      </w:r>
    </w:p>
    <w:p w:rsidR="00F65813" w:rsidRDefault="00EB0B4C">
      <w:pPr>
        <w:widowControl/>
        <w:spacing w:after="0"/>
        <w:jc w:val="left"/>
        <w:outlineLvl w:val="3"/>
        <w:rPr>
          <w:rFonts w:ascii="宋体" w:hAnsi="宋体" w:cs="黑体"/>
        </w:rPr>
      </w:pPr>
      <w:r>
        <w:rPr>
          <w:rFonts w:ascii="黑体" w:eastAsia="黑体" w:hAnsi="黑体" w:cs="黑体"/>
        </w:rPr>
        <w:t xml:space="preserve">9.1.7 </w:t>
      </w:r>
      <w:r>
        <w:rPr>
          <w:rFonts w:ascii="宋体" w:hAnsi="宋体" w:cs="黑体" w:hint="eastAsia"/>
        </w:rPr>
        <w:t>在有行人及车辆通行的施工混合区域，应设置警戒线、安全围挡，在夜间应设置安全警示照明。</w:t>
      </w:r>
    </w:p>
    <w:p w:rsidR="00F65813" w:rsidRDefault="00EB0B4C">
      <w:pPr>
        <w:pStyle w:val="a4"/>
        <w:numPr>
          <w:ilvl w:val="0"/>
          <w:numId w:val="0"/>
        </w:numPr>
        <w:spacing w:before="156" w:after="156"/>
        <w:rPr>
          <w:rFonts w:ascii="Times New Roman" w:cs="Times New Roman"/>
        </w:rPr>
      </w:pPr>
      <w:bookmarkStart w:id="217" w:name="_Toc71206585"/>
      <w:r>
        <w:rPr>
          <w:rFonts w:hAnsi="黑体"/>
        </w:rPr>
        <w:t xml:space="preserve">9.2  </w:t>
      </w:r>
      <w:r>
        <w:rPr>
          <w:rFonts w:ascii="Times New Roman" w:cs="Times New Roman" w:hint="eastAsia"/>
        </w:rPr>
        <w:t>灯具</w:t>
      </w:r>
      <w:r>
        <w:rPr>
          <w:rFonts w:hint="eastAsia"/>
        </w:rPr>
        <w:t>安装</w:t>
      </w:r>
      <w:r>
        <w:rPr>
          <w:rFonts w:ascii="Times New Roman" w:cs="Times New Roman" w:hint="eastAsia"/>
        </w:rPr>
        <w:t>要求</w:t>
      </w:r>
      <w:bookmarkEnd w:id="217"/>
    </w:p>
    <w:p w:rsidR="00F65813" w:rsidRDefault="00EB0B4C">
      <w:pPr>
        <w:widowControl/>
        <w:spacing w:after="0"/>
        <w:jc w:val="left"/>
        <w:outlineLvl w:val="3"/>
        <w:rPr>
          <w:rFonts w:ascii="宋体" w:hAnsi="宋体" w:cs="黑体"/>
        </w:rPr>
      </w:pPr>
      <w:r>
        <w:rPr>
          <w:rFonts w:ascii="黑体" w:eastAsia="黑体" w:hAnsi="黑体" w:cs="黑体"/>
        </w:rPr>
        <w:t xml:space="preserve">9.2.1 </w:t>
      </w:r>
      <w:r>
        <w:rPr>
          <w:rFonts w:ascii="宋体" w:hAnsi="宋体" w:cs="黑体" w:hint="eastAsia"/>
        </w:rPr>
        <w:t>灯具应安装于满足承载要求的构件上，灯具固定不应影响安装部位的结构强度，不应破坏安装部位的气密性与水密性。</w:t>
      </w:r>
    </w:p>
    <w:p w:rsidR="00F65813" w:rsidRDefault="00EB0B4C">
      <w:pPr>
        <w:widowControl/>
        <w:spacing w:after="0"/>
        <w:jc w:val="left"/>
        <w:outlineLvl w:val="3"/>
        <w:rPr>
          <w:rFonts w:ascii="宋体" w:hAnsi="宋体" w:cs="黑体"/>
        </w:rPr>
      </w:pPr>
      <w:r>
        <w:rPr>
          <w:rFonts w:ascii="黑体" w:eastAsia="黑体" w:hAnsi="黑体" w:cs="黑体"/>
        </w:rPr>
        <w:t xml:space="preserve">9.2.2 </w:t>
      </w:r>
      <w:r>
        <w:rPr>
          <w:rFonts w:ascii="宋体" w:hAnsi="宋体" w:cs="黑体" w:hint="eastAsia"/>
        </w:rPr>
        <w:t>有高空坠落风险的灯具及其附件应设置防坠落装置，安装时应做好灯具、固定件、工具的防坠措施。</w:t>
      </w:r>
    </w:p>
    <w:p w:rsidR="00F65813" w:rsidRDefault="00EB0B4C">
      <w:pPr>
        <w:widowControl/>
        <w:spacing w:after="0"/>
        <w:jc w:val="left"/>
        <w:outlineLvl w:val="3"/>
        <w:rPr>
          <w:rFonts w:ascii="宋体" w:hAnsi="宋体" w:cs="黑体"/>
        </w:rPr>
      </w:pPr>
      <w:r>
        <w:rPr>
          <w:rFonts w:ascii="黑体" w:eastAsia="黑体" w:hAnsi="黑体" w:cs="黑体"/>
        </w:rPr>
        <w:t xml:space="preserve">9.2.3 </w:t>
      </w:r>
      <w:r>
        <w:rPr>
          <w:rFonts w:ascii="宋体" w:hAnsi="宋体" w:cs="黑体" w:hint="eastAsia"/>
        </w:rPr>
        <w:t>安装灯具的支架和固定连接件，应采用与灯具相同或具有更高防腐性能的材质。</w:t>
      </w:r>
    </w:p>
    <w:p w:rsidR="00F65813" w:rsidRDefault="00EB0B4C">
      <w:pPr>
        <w:widowControl/>
        <w:spacing w:after="0"/>
        <w:jc w:val="left"/>
        <w:outlineLvl w:val="3"/>
        <w:rPr>
          <w:rFonts w:ascii="宋体" w:hAnsi="宋体" w:cs="黑体"/>
        </w:rPr>
      </w:pPr>
      <w:r>
        <w:rPr>
          <w:rFonts w:ascii="黑体" w:eastAsia="黑体" w:hAnsi="黑体" w:cs="黑体"/>
        </w:rPr>
        <w:t xml:space="preserve">9.2.4 </w:t>
      </w:r>
      <w:r>
        <w:rPr>
          <w:rFonts w:ascii="宋体" w:hAnsi="宋体" w:cs="黑体" w:hint="eastAsia"/>
        </w:rPr>
        <w:t>外露灯具、固定支架、套管、线缆接头等应与周围环境相协调。</w:t>
      </w:r>
    </w:p>
    <w:p w:rsidR="00F65813" w:rsidRDefault="00EB0B4C">
      <w:pPr>
        <w:widowControl/>
        <w:spacing w:after="0"/>
        <w:jc w:val="left"/>
        <w:outlineLvl w:val="3"/>
        <w:rPr>
          <w:rFonts w:ascii="宋体" w:hAnsi="宋体" w:cs="黑体"/>
        </w:rPr>
      </w:pPr>
      <w:r>
        <w:rPr>
          <w:rFonts w:ascii="黑体" w:eastAsia="黑体" w:hAnsi="黑体" w:cs="黑体"/>
        </w:rPr>
        <w:t xml:space="preserve">9.2.5 </w:t>
      </w:r>
      <w:r>
        <w:rPr>
          <w:rFonts w:ascii="宋体" w:hAnsi="宋体" w:cs="黑体" w:hint="eastAsia"/>
        </w:rPr>
        <w:t>户外灯具采用防水接插件进行电气连接时，应确保卡扣连接入位。</w:t>
      </w:r>
    </w:p>
    <w:p w:rsidR="00F65813" w:rsidRDefault="00EB0B4C">
      <w:pPr>
        <w:widowControl/>
        <w:spacing w:after="0"/>
        <w:jc w:val="left"/>
        <w:outlineLvl w:val="3"/>
        <w:rPr>
          <w:rFonts w:ascii="宋体" w:hAnsi="宋体" w:cs="黑体"/>
        </w:rPr>
      </w:pPr>
      <w:r>
        <w:rPr>
          <w:rFonts w:ascii="黑体" w:eastAsia="黑体" w:hAnsi="黑体" w:cs="黑体"/>
        </w:rPr>
        <w:t xml:space="preserve">9.2.6 </w:t>
      </w:r>
      <w:r>
        <w:rPr>
          <w:rFonts w:ascii="宋体" w:hAnsi="宋体" w:cs="黑体" w:hint="eastAsia"/>
        </w:rPr>
        <w:t>灯具需要从接线盒引出接线时，其电缆应采用金属软管穿管保护，防止电缆直接暴露在户外，线缆接头应做好防水措施。</w:t>
      </w:r>
    </w:p>
    <w:p w:rsidR="00F65813" w:rsidRDefault="00EB0B4C">
      <w:pPr>
        <w:widowControl/>
        <w:spacing w:after="0"/>
        <w:jc w:val="left"/>
        <w:outlineLvl w:val="3"/>
        <w:rPr>
          <w:rFonts w:ascii="宋体" w:hAnsi="宋体" w:cs="黑体"/>
        </w:rPr>
      </w:pPr>
      <w:r>
        <w:rPr>
          <w:rFonts w:ascii="黑体" w:eastAsia="黑体" w:hAnsi="黑体" w:cs="黑体"/>
        </w:rPr>
        <w:t xml:space="preserve">9.2.7 </w:t>
      </w:r>
      <w:r>
        <w:rPr>
          <w:rFonts w:ascii="宋体" w:hAnsi="宋体" w:cs="黑体" w:hint="eastAsia"/>
        </w:rPr>
        <w:t>安装于高架道路、桥梁、隧道的灯具，应考虑车辆通行引起的振动，应采取防振的安全措施。</w:t>
      </w:r>
    </w:p>
    <w:p w:rsidR="00F65813" w:rsidRDefault="00EB0B4C">
      <w:pPr>
        <w:pStyle w:val="a4"/>
        <w:numPr>
          <w:ilvl w:val="0"/>
          <w:numId w:val="0"/>
        </w:numPr>
        <w:spacing w:before="156" w:after="156"/>
        <w:rPr>
          <w:rFonts w:ascii="Times New Roman" w:cs="Times New Roman"/>
        </w:rPr>
      </w:pPr>
      <w:bookmarkStart w:id="218" w:name="_Toc71206586"/>
      <w:r>
        <w:rPr>
          <w:rFonts w:hAnsi="黑体"/>
        </w:rPr>
        <w:t xml:space="preserve">9.3  </w:t>
      </w:r>
      <w:r>
        <w:rPr>
          <w:rFonts w:ascii="Times New Roman" w:cs="Times New Roman" w:hint="eastAsia"/>
        </w:rPr>
        <w:t>控制系统安装要求</w:t>
      </w:r>
      <w:bookmarkEnd w:id="218"/>
    </w:p>
    <w:p w:rsidR="00F65813" w:rsidRDefault="00EB0B4C">
      <w:pPr>
        <w:widowControl/>
        <w:spacing w:after="0"/>
        <w:jc w:val="left"/>
        <w:outlineLvl w:val="3"/>
        <w:rPr>
          <w:rFonts w:ascii="宋体" w:hAnsi="宋体" w:cs="黑体"/>
        </w:rPr>
      </w:pPr>
      <w:r>
        <w:rPr>
          <w:rFonts w:ascii="黑体" w:eastAsia="黑体" w:hAnsi="黑体" w:cs="黑体"/>
        </w:rPr>
        <w:t xml:space="preserve">9.3.1 </w:t>
      </w:r>
      <w:r>
        <w:rPr>
          <w:rFonts w:ascii="宋体" w:hAnsi="宋体" w:cs="黑体" w:hint="eastAsia"/>
        </w:rPr>
        <w:t>控制系统信号线与电源线宜分开敷设，当同管（槽）敷设时应采取隔离或屏蔽措施。</w:t>
      </w:r>
    </w:p>
    <w:p w:rsidR="00F65813" w:rsidRDefault="00EB0B4C">
      <w:pPr>
        <w:widowControl/>
        <w:spacing w:after="0"/>
        <w:jc w:val="left"/>
        <w:outlineLvl w:val="3"/>
        <w:rPr>
          <w:rFonts w:ascii="宋体" w:hAnsi="宋体" w:cs="黑体"/>
        </w:rPr>
      </w:pPr>
      <w:r>
        <w:rPr>
          <w:rFonts w:ascii="黑体" w:eastAsia="黑体" w:hAnsi="黑体" w:cs="黑体"/>
        </w:rPr>
        <w:t xml:space="preserve">9.3.2 </w:t>
      </w:r>
      <w:r>
        <w:rPr>
          <w:rFonts w:ascii="宋体" w:hAnsi="宋体" w:cs="黑体" w:hint="eastAsia"/>
        </w:rPr>
        <w:t>室外的信号线采用屏蔽线或穿金属管、槽屏蔽，干线宜采用光缆传递信号。</w:t>
      </w:r>
    </w:p>
    <w:p w:rsidR="00F65813" w:rsidRDefault="00EB0B4C">
      <w:pPr>
        <w:widowControl/>
        <w:spacing w:after="0"/>
        <w:jc w:val="left"/>
        <w:outlineLvl w:val="3"/>
        <w:rPr>
          <w:rFonts w:ascii="宋体" w:hAnsi="宋体" w:cs="黑体"/>
        </w:rPr>
      </w:pPr>
      <w:r>
        <w:rPr>
          <w:rFonts w:ascii="黑体" w:eastAsia="黑体" w:hAnsi="黑体" w:cs="黑体"/>
        </w:rPr>
        <w:t xml:space="preserve">9.3.3 </w:t>
      </w:r>
      <w:r>
        <w:rPr>
          <w:rFonts w:ascii="宋体" w:hAnsi="宋体" w:cs="黑体" w:hint="eastAsia"/>
        </w:rPr>
        <w:t>主控器、分控器、灯具的配电回路应分别单独设置。</w:t>
      </w:r>
    </w:p>
    <w:p w:rsidR="00F65813" w:rsidRDefault="00EB0B4C">
      <w:pPr>
        <w:pStyle w:val="a4"/>
        <w:numPr>
          <w:ilvl w:val="0"/>
          <w:numId w:val="0"/>
        </w:numPr>
        <w:spacing w:before="156" w:after="156"/>
        <w:rPr>
          <w:rFonts w:ascii="Times New Roman" w:cs="Times New Roman"/>
        </w:rPr>
      </w:pPr>
      <w:bookmarkStart w:id="219" w:name="_Toc71206587"/>
      <w:r>
        <w:rPr>
          <w:rFonts w:hAnsi="黑体"/>
        </w:rPr>
        <w:t xml:space="preserve">9.4  </w:t>
      </w:r>
      <w:r>
        <w:rPr>
          <w:rFonts w:ascii="Times New Roman" w:cs="Times New Roman" w:hint="eastAsia"/>
        </w:rPr>
        <w:t>调试要求</w:t>
      </w:r>
      <w:bookmarkEnd w:id="219"/>
    </w:p>
    <w:p w:rsidR="00F65813" w:rsidRDefault="00EB0B4C">
      <w:pPr>
        <w:widowControl/>
        <w:spacing w:after="0"/>
        <w:jc w:val="left"/>
        <w:outlineLvl w:val="3"/>
        <w:rPr>
          <w:rFonts w:asciiTheme="minorEastAsia" w:eastAsiaTheme="minorEastAsia" w:hAnsiTheme="minorEastAsia" w:cs="黑体"/>
        </w:rPr>
      </w:pPr>
      <w:r>
        <w:rPr>
          <w:rFonts w:ascii="黑体" w:eastAsia="黑体" w:hAnsi="黑体" w:cs="黑体"/>
        </w:rPr>
        <w:t xml:space="preserve">9.4.1 </w:t>
      </w:r>
      <w:r>
        <w:rPr>
          <w:rFonts w:asciiTheme="minorEastAsia" w:eastAsiaTheme="minorEastAsia" w:hAnsiTheme="minorEastAsia" w:cs="黑体" w:hint="eastAsia"/>
        </w:rPr>
        <w:t>调试应分区域、分段进</w:t>
      </w:r>
      <w:r>
        <w:rPr>
          <w:rFonts w:asciiTheme="minorEastAsia" w:eastAsiaTheme="minorEastAsia" w:hAnsiTheme="minorEastAsia" w:cs="黑体" w:hint="eastAsia"/>
        </w:rPr>
        <w:t>行，遵循从小到大、从部分到整体的顺序。</w:t>
      </w:r>
    </w:p>
    <w:p w:rsidR="00F65813" w:rsidRDefault="00EB0B4C">
      <w:pPr>
        <w:widowControl/>
        <w:spacing w:after="0"/>
        <w:outlineLvl w:val="3"/>
        <w:rPr>
          <w:rFonts w:asciiTheme="minorEastAsia" w:eastAsiaTheme="minorEastAsia" w:hAnsiTheme="minorEastAsia" w:cs="黑体"/>
        </w:rPr>
      </w:pPr>
      <w:r>
        <w:rPr>
          <w:rFonts w:ascii="黑体" w:eastAsia="黑体" w:hAnsi="黑体" w:cs="黑体"/>
        </w:rPr>
        <w:t xml:space="preserve">9.4.2 </w:t>
      </w:r>
      <w:r>
        <w:rPr>
          <w:rFonts w:asciiTheme="minorEastAsia" w:eastAsiaTheme="minorEastAsia" w:hAnsiTheme="minorEastAsia" w:cs="黑体" w:hint="eastAsia"/>
        </w:rPr>
        <w:t>试运行时所有灯具均应开启，通电试运行时间应为</w:t>
      </w:r>
      <w:r>
        <w:rPr>
          <w:rFonts w:asciiTheme="minorEastAsia" w:eastAsiaTheme="minorEastAsia" w:hAnsiTheme="minorEastAsia" w:cs="黑体"/>
        </w:rPr>
        <w:t>24 h</w:t>
      </w:r>
      <w:r>
        <w:rPr>
          <w:rFonts w:asciiTheme="minorEastAsia" w:eastAsiaTheme="minorEastAsia" w:hAnsiTheme="minorEastAsia" w:cs="黑体" w:hint="eastAsia"/>
        </w:rPr>
        <w:t>，每</w:t>
      </w:r>
      <w:r>
        <w:rPr>
          <w:rFonts w:asciiTheme="minorEastAsia" w:eastAsiaTheme="minorEastAsia" w:hAnsiTheme="minorEastAsia" w:cs="黑体"/>
        </w:rPr>
        <w:t>2 h</w:t>
      </w:r>
      <w:r>
        <w:rPr>
          <w:rFonts w:asciiTheme="minorEastAsia" w:eastAsiaTheme="minorEastAsia" w:hAnsiTheme="minorEastAsia" w:cs="黑体" w:hint="eastAsia"/>
        </w:rPr>
        <w:t>记录运行状态</w:t>
      </w:r>
      <w:r>
        <w:rPr>
          <w:rFonts w:asciiTheme="minorEastAsia" w:eastAsiaTheme="minorEastAsia" w:hAnsiTheme="minorEastAsia" w:cs="黑体"/>
        </w:rPr>
        <w:t>1</w:t>
      </w:r>
      <w:r>
        <w:rPr>
          <w:rFonts w:asciiTheme="minorEastAsia" w:eastAsiaTheme="minorEastAsia" w:hAnsiTheme="minorEastAsia" w:cs="黑体" w:hint="eastAsia"/>
        </w:rPr>
        <w:t>次，包括电流、电压、温度等，连续试运行时间内应无故障；配电箱、柜内温度、噪声应无异常。</w:t>
      </w:r>
    </w:p>
    <w:p w:rsidR="00F65813" w:rsidRDefault="00EB0B4C">
      <w:pPr>
        <w:widowControl/>
        <w:spacing w:after="0"/>
        <w:jc w:val="left"/>
        <w:outlineLvl w:val="3"/>
        <w:rPr>
          <w:rFonts w:asciiTheme="minorEastAsia" w:eastAsiaTheme="minorEastAsia" w:hAnsiTheme="minorEastAsia" w:cs="黑体"/>
        </w:rPr>
      </w:pPr>
      <w:r>
        <w:rPr>
          <w:rFonts w:ascii="黑体" w:eastAsia="黑体" w:hAnsi="黑体" w:cs="黑体"/>
        </w:rPr>
        <w:t xml:space="preserve">9.4.3 </w:t>
      </w:r>
      <w:bookmarkStart w:id="220" w:name="_Hlk88682607"/>
      <w:r>
        <w:rPr>
          <w:rFonts w:asciiTheme="minorEastAsia" w:eastAsiaTheme="minorEastAsia" w:hAnsiTheme="minorEastAsia" w:cs="黑体" w:hint="eastAsia"/>
        </w:rPr>
        <w:t>应按</w:t>
      </w:r>
      <w:r>
        <w:rPr>
          <w:rFonts w:ascii="宋体" w:hAnsi="宋体" w:cs="黑体" w:hint="eastAsia"/>
        </w:rPr>
        <w:t>常态、节假日</w:t>
      </w:r>
      <w:r>
        <w:rPr>
          <w:rFonts w:asciiTheme="minorEastAsia" w:eastAsiaTheme="minorEastAsia" w:hAnsiTheme="minorEastAsia" w:cs="黑体" w:hint="eastAsia"/>
        </w:rPr>
        <w:t>的照明控制模式进行调试并进行照明效果测试，确认预设场景或视频动画演示效果正确、清晰、流畅</w:t>
      </w:r>
      <w:bookmarkEnd w:id="220"/>
      <w:r>
        <w:rPr>
          <w:rFonts w:asciiTheme="minorEastAsia" w:eastAsiaTheme="minorEastAsia" w:hAnsiTheme="minorEastAsia" w:cs="黑体" w:hint="eastAsia"/>
        </w:rPr>
        <w:t>。</w:t>
      </w:r>
    </w:p>
    <w:p w:rsidR="00F65813" w:rsidRDefault="00EB0B4C">
      <w:pPr>
        <w:pStyle w:val="a3"/>
        <w:numPr>
          <w:ilvl w:val="0"/>
          <w:numId w:val="0"/>
        </w:numPr>
        <w:spacing w:before="312" w:after="312"/>
        <w:rPr>
          <w:rFonts w:asciiTheme="minorEastAsia" w:eastAsiaTheme="minorEastAsia" w:hAnsiTheme="minorEastAsia" w:cs="Times New Roman"/>
        </w:rPr>
      </w:pPr>
      <w:bookmarkStart w:id="221" w:name="_Toc71206588"/>
      <w:bookmarkStart w:id="222" w:name="_Toc48571199"/>
      <w:r>
        <w:rPr>
          <w:rFonts w:ascii="Times New Roman" w:cs="Times New Roman"/>
        </w:rPr>
        <w:t xml:space="preserve">10   </w:t>
      </w:r>
      <w:r>
        <w:rPr>
          <w:rFonts w:asciiTheme="minorEastAsia" w:eastAsiaTheme="minorEastAsia" w:hAnsiTheme="minorEastAsia" w:cs="Times New Roman" w:hint="eastAsia"/>
        </w:rPr>
        <w:t>验收要求</w:t>
      </w:r>
      <w:bookmarkEnd w:id="221"/>
      <w:bookmarkEnd w:id="222"/>
    </w:p>
    <w:p w:rsidR="00F65813" w:rsidRDefault="00EB0B4C">
      <w:pPr>
        <w:pStyle w:val="a4"/>
        <w:numPr>
          <w:ilvl w:val="0"/>
          <w:numId w:val="0"/>
        </w:numPr>
        <w:spacing w:before="156" w:after="156"/>
        <w:rPr>
          <w:rFonts w:ascii="Times New Roman" w:cs="Times New Roman"/>
        </w:rPr>
      </w:pPr>
      <w:bookmarkStart w:id="223" w:name="_Toc71206589"/>
      <w:r>
        <w:rPr>
          <w:rFonts w:hAnsi="黑体"/>
        </w:rPr>
        <w:t xml:space="preserve">10.1 </w:t>
      </w:r>
      <w:r>
        <w:rPr>
          <w:rFonts w:ascii="Times New Roman" w:cs="Times New Roman" w:hint="eastAsia"/>
        </w:rPr>
        <w:t>一般要求</w:t>
      </w:r>
      <w:bookmarkEnd w:id="223"/>
    </w:p>
    <w:p w:rsidR="00F65813" w:rsidRDefault="00EB0B4C">
      <w:pPr>
        <w:pStyle w:val="a5"/>
        <w:numPr>
          <w:ilvl w:val="0"/>
          <w:numId w:val="0"/>
        </w:numPr>
        <w:spacing w:beforeLines="0" w:afterLines="0"/>
        <w:ind w:firstLineChars="200" w:firstLine="420"/>
        <w:outlineLvl w:val="9"/>
        <w:rPr>
          <w:rFonts w:asciiTheme="minorEastAsia" w:eastAsiaTheme="minorEastAsia" w:hAnsiTheme="minorEastAsia" w:cs="Times New Roman"/>
          <w:color w:val="333333"/>
        </w:rPr>
      </w:pPr>
      <w:r>
        <w:rPr>
          <w:rFonts w:asciiTheme="minorEastAsia" w:eastAsiaTheme="minorEastAsia" w:hAnsiTheme="minorEastAsia" w:cs="Times New Roman" w:hint="eastAsia"/>
          <w:color w:val="333333"/>
        </w:rPr>
        <w:t>以项目方案效果设计文件、项目施工设计文件、</w:t>
      </w:r>
      <w:r>
        <w:rPr>
          <w:rFonts w:asciiTheme="minorEastAsia" w:eastAsiaTheme="minorEastAsia" w:hAnsiTheme="minorEastAsia" w:cs="Times New Roman"/>
          <w:color w:val="333333"/>
        </w:rPr>
        <w:t>GB 50303</w:t>
      </w:r>
      <w:r>
        <w:rPr>
          <w:rFonts w:asciiTheme="minorEastAsia" w:eastAsiaTheme="minorEastAsia" w:hAnsiTheme="minorEastAsia" w:cs="Times New Roman"/>
          <w:color w:val="333333"/>
        </w:rPr>
        <w:t>、</w:t>
      </w:r>
      <w:r>
        <w:rPr>
          <w:rFonts w:asciiTheme="minorEastAsia" w:eastAsiaTheme="minorEastAsia" w:hAnsiTheme="minorEastAsia" w:cs="Times New Roman"/>
          <w:color w:val="333333"/>
        </w:rPr>
        <w:t>GB 51348</w:t>
      </w:r>
      <w:r>
        <w:rPr>
          <w:rFonts w:asciiTheme="minorEastAsia" w:eastAsiaTheme="minorEastAsia" w:hAnsiTheme="minorEastAsia" w:cs="Times New Roman" w:hint="eastAsia"/>
          <w:color w:val="333333"/>
        </w:rPr>
        <w:t>—</w:t>
      </w:r>
      <w:r>
        <w:rPr>
          <w:rFonts w:asciiTheme="minorEastAsia" w:eastAsiaTheme="minorEastAsia" w:hAnsiTheme="minorEastAsia" w:cs="Times New Roman"/>
          <w:color w:val="333333"/>
        </w:rPr>
        <w:t>2019</w:t>
      </w:r>
      <w:r>
        <w:rPr>
          <w:rFonts w:asciiTheme="minorEastAsia" w:eastAsiaTheme="minorEastAsia" w:hAnsiTheme="minorEastAsia" w:cs="Times New Roman"/>
          <w:color w:val="333333"/>
        </w:rPr>
        <w:t>及本规范</w:t>
      </w:r>
      <w:r>
        <w:rPr>
          <w:rFonts w:asciiTheme="minorEastAsia" w:eastAsiaTheme="minorEastAsia" w:hAnsiTheme="minorEastAsia" w:cs="Times New Roman"/>
          <w:color w:val="333333"/>
        </w:rPr>
        <w:t>4.3</w:t>
      </w:r>
      <w:r>
        <w:rPr>
          <w:rFonts w:asciiTheme="minorEastAsia" w:eastAsiaTheme="minorEastAsia" w:hAnsiTheme="minorEastAsia" w:cs="Times New Roman"/>
          <w:color w:val="333333"/>
        </w:rPr>
        <w:t>、</w:t>
      </w:r>
      <w:r>
        <w:rPr>
          <w:rFonts w:asciiTheme="minorEastAsia" w:eastAsiaTheme="minorEastAsia" w:hAnsiTheme="minorEastAsia" w:cs="Times New Roman"/>
          <w:color w:val="333333"/>
        </w:rPr>
        <w:t>4.4</w:t>
      </w:r>
      <w:r>
        <w:rPr>
          <w:rFonts w:asciiTheme="minorEastAsia" w:eastAsiaTheme="minorEastAsia" w:hAnsiTheme="minorEastAsia" w:cs="Times New Roman"/>
          <w:color w:val="333333"/>
        </w:rPr>
        <w:t>条的规定作为景观照明项目验收的依据</w:t>
      </w:r>
      <w:r>
        <w:rPr>
          <w:rFonts w:asciiTheme="minorEastAsia" w:eastAsiaTheme="minorEastAsia" w:hAnsiTheme="minorEastAsia" w:cs="Times New Roman" w:hint="eastAsia"/>
          <w:color w:val="333333"/>
        </w:rPr>
        <w:t>。</w:t>
      </w:r>
    </w:p>
    <w:p w:rsidR="00F65813" w:rsidRDefault="00EB0B4C">
      <w:pPr>
        <w:pStyle w:val="a4"/>
        <w:numPr>
          <w:ilvl w:val="0"/>
          <w:numId w:val="0"/>
        </w:numPr>
        <w:spacing w:before="156" w:after="156"/>
        <w:rPr>
          <w:rFonts w:ascii="Times New Roman" w:cs="Times New Roman"/>
        </w:rPr>
      </w:pPr>
      <w:bookmarkStart w:id="224" w:name="_Toc71206590"/>
      <w:r>
        <w:rPr>
          <w:rFonts w:hAnsi="黑体"/>
        </w:rPr>
        <w:t xml:space="preserve">10.2 </w:t>
      </w:r>
      <w:r>
        <w:rPr>
          <w:rFonts w:ascii="Times New Roman" w:cs="Times New Roman" w:hint="eastAsia"/>
        </w:rPr>
        <w:t>施工质量验收要求</w:t>
      </w:r>
      <w:bookmarkEnd w:id="224"/>
    </w:p>
    <w:p w:rsidR="00F65813" w:rsidRDefault="00EB0B4C">
      <w:pPr>
        <w:widowControl/>
        <w:spacing w:before="50" w:after="50"/>
        <w:jc w:val="left"/>
        <w:outlineLvl w:val="3"/>
        <w:rPr>
          <w:rFonts w:hAnsi="黑体"/>
        </w:rPr>
      </w:pPr>
      <w:bookmarkStart w:id="225" w:name="_Toc48571200"/>
      <w:r>
        <w:rPr>
          <w:rFonts w:ascii="黑体" w:eastAsia="黑体" w:hAnsi="黑体" w:cs="黑体"/>
        </w:rPr>
        <w:t xml:space="preserve">10.2.1 </w:t>
      </w:r>
      <w:r>
        <w:rPr>
          <w:rFonts w:ascii="黑体" w:eastAsia="黑体" w:hAnsi="黑体" w:cs="黑体" w:hint="eastAsia"/>
        </w:rPr>
        <w:t>验收组织</w:t>
      </w:r>
    </w:p>
    <w:p w:rsidR="00F65813" w:rsidRDefault="00EB0B4C">
      <w:pPr>
        <w:pStyle w:val="a5"/>
        <w:numPr>
          <w:ilvl w:val="0"/>
          <w:numId w:val="0"/>
        </w:numPr>
        <w:spacing w:beforeLines="0" w:afterLines="0"/>
        <w:ind w:firstLineChars="200" w:firstLine="420"/>
        <w:outlineLvl w:val="9"/>
        <w:rPr>
          <w:rFonts w:ascii="Times New Roman" w:eastAsiaTheme="minorEastAsia" w:cs="Times New Roman"/>
          <w:color w:val="333333"/>
        </w:rPr>
      </w:pPr>
      <w:r>
        <w:rPr>
          <w:rFonts w:ascii="Times New Roman" w:eastAsiaTheme="minorEastAsia" w:cs="Times New Roman" w:hint="eastAsia"/>
          <w:color w:val="333333"/>
        </w:rPr>
        <w:t>建设单位根据工程实际进度情况组织设计单位、施工单位和工程监理单位共同对工程施工质量进行验收。</w:t>
      </w:r>
    </w:p>
    <w:p w:rsidR="00F65813" w:rsidRDefault="00EB0B4C">
      <w:pPr>
        <w:widowControl/>
        <w:spacing w:before="50" w:after="50"/>
        <w:jc w:val="left"/>
        <w:outlineLvl w:val="3"/>
        <w:rPr>
          <w:rFonts w:hAnsi="黑体"/>
        </w:rPr>
      </w:pPr>
      <w:r>
        <w:rPr>
          <w:rFonts w:ascii="黑体" w:eastAsia="黑体" w:hAnsi="黑体" w:cs="黑体"/>
        </w:rPr>
        <w:t xml:space="preserve">10.2.2 </w:t>
      </w:r>
      <w:r>
        <w:rPr>
          <w:rFonts w:ascii="黑体" w:eastAsia="黑体" w:hAnsi="黑体" w:cs="黑体"/>
        </w:rPr>
        <w:t>隐蔽工程验收</w:t>
      </w:r>
    </w:p>
    <w:p w:rsidR="00F65813" w:rsidRDefault="00EB0B4C">
      <w:pPr>
        <w:pStyle w:val="a5"/>
        <w:numPr>
          <w:ilvl w:val="0"/>
          <w:numId w:val="0"/>
        </w:numPr>
        <w:spacing w:beforeLines="0" w:afterLines="0"/>
        <w:ind w:firstLineChars="200" w:firstLine="420"/>
        <w:outlineLvl w:val="9"/>
        <w:rPr>
          <w:rFonts w:ascii="Times New Roman" w:eastAsiaTheme="minorEastAsia" w:cs="Times New Roman"/>
          <w:color w:val="333333"/>
        </w:rPr>
      </w:pPr>
      <w:r>
        <w:rPr>
          <w:rFonts w:ascii="Times New Roman" w:eastAsiaTheme="minorEastAsia" w:cs="Times New Roman" w:hint="eastAsia"/>
          <w:color w:val="333333"/>
        </w:rPr>
        <w:lastRenderedPageBreak/>
        <w:t>每一道隐蔽工程施工结束覆盖前，应由工程监理根据施工图及施工规范的要求对隐蔽工程进行检查和验收。验收合格的由工程监理签认并存档保管。</w:t>
      </w:r>
    </w:p>
    <w:p w:rsidR="00F65813" w:rsidRDefault="00EB0B4C">
      <w:pPr>
        <w:widowControl/>
        <w:spacing w:before="50" w:after="50"/>
        <w:jc w:val="left"/>
        <w:outlineLvl w:val="3"/>
        <w:rPr>
          <w:rFonts w:hAnsi="黑体"/>
        </w:rPr>
      </w:pPr>
      <w:r>
        <w:rPr>
          <w:rFonts w:ascii="黑体" w:eastAsia="黑体" w:hAnsi="黑体" w:cs="黑体"/>
        </w:rPr>
        <w:t xml:space="preserve">10.2.3 </w:t>
      </w:r>
      <w:r>
        <w:rPr>
          <w:rFonts w:ascii="黑体" w:eastAsia="黑体" w:hAnsi="黑体" w:cs="黑体" w:hint="eastAsia"/>
        </w:rPr>
        <w:t>施工过程</w:t>
      </w:r>
      <w:r>
        <w:rPr>
          <w:rFonts w:ascii="黑体" w:eastAsia="黑体" w:hAnsi="黑体" w:cs="黑体"/>
        </w:rPr>
        <w:t>验收</w:t>
      </w:r>
    </w:p>
    <w:p w:rsidR="00F65813" w:rsidRDefault="00EB0B4C">
      <w:pPr>
        <w:pStyle w:val="a5"/>
        <w:numPr>
          <w:ilvl w:val="0"/>
          <w:numId w:val="0"/>
        </w:numPr>
        <w:spacing w:beforeLines="0" w:afterLines="0"/>
        <w:ind w:firstLineChars="200" w:firstLine="420"/>
        <w:jc w:val="both"/>
        <w:outlineLvl w:val="9"/>
        <w:rPr>
          <w:rFonts w:ascii="宋体" w:eastAsia="宋体" w:hAnsi="宋体" w:cs="Times New Roman"/>
          <w:color w:val="333333"/>
        </w:rPr>
      </w:pPr>
      <w:r>
        <w:rPr>
          <w:rFonts w:ascii="宋体" w:eastAsia="宋体" w:hAnsi="宋体" w:cs="Times New Roman" w:hint="eastAsia"/>
          <w:color w:val="333333"/>
        </w:rPr>
        <w:t>工程监理应按施工图、施工进度表及施工规范的要求对施工过程进行检查和验收。管线施工安装完成后应进行线缆的绝缘测试，绝缘电阻值不应小于</w:t>
      </w:r>
      <w:r>
        <w:rPr>
          <w:rFonts w:ascii="宋体" w:eastAsia="宋体" w:hAnsi="宋体" w:cs="Times New Roman"/>
          <w:color w:val="333333"/>
        </w:rPr>
        <w:t>0.5 MΩ</w:t>
      </w:r>
      <w:r>
        <w:rPr>
          <w:rFonts w:ascii="宋体" w:eastAsia="宋体" w:hAnsi="宋体" w:cs="Times New Roman"/>
          <w:color w:val="333333"/>
        </w:rPr>
        <w:t>，并做好实时测试记录。景观照明设施安装完成后应进行保护接地及防雷接地的测试，保护接地电阻值</w:t>
      </w:r>
      <w:r>
        <w:rPr>
          <w:rFonts w:ascii="宋体" w:eastAsia="宋体" w:hAnsi="宋体" w:cs="Times New Roman" w:hint="eastAsia"/>
          <w:color w:val="333333"/>
        </w:rPr>
        <w:t>不应大于</w:t>
      </w:r>
      <w:r>
        <w:rPr>
          <w:rFonts w:ascii="宋体" w:eastAsia="宋体" w:hAnsi="宋体" w:cs="Times New Roman"/>
          <w:color w:val="333333"/>
        </w:rPr>
        <w:t xml:space="preserve">4 </w:t>
      </w:r>
      <w:r>
        <w:rPr>
          <w:rFonts w:ascii="宋体" w:eastAsia="宋体" w:hAnsi="宋体" w:cs="Times New Roman" w:hint="eastAsia"/>
          <w:color w:val="333333"/>
        </w:rPr>
        <w:t>Ω、防雷接地电阻值不应大于</w:t>
      </w:r>
      <w:r>
        <w:rPr>
          <w:rFonts w:ascii="宋体" w:eastAsia="宋体" w:hAnsi="宋体" w:cs="Times New Roman"/>
          <w:color w:val="333333"/>
        </w:rPr>
        <w:t xml:space="preserve">10 </w:t>
      </w:r>
      <w:r>
        <w:rPr>
          <w:rFonts w:ascii="宋体" w:eastAsia="宋体" w:hAnsi="宋体" w:cs="Times New Roman" w:hint="eastAsia"/>
          <w:color w:val="333333"/>
        </w:rPr>
        <w:t>Ω，并做好实时测试记录。实时测试记录由工程监理签认并存档保管。</w:t>
      </w:r>
    </w:p>
    <w:p w:rsidR="00F65813" w:rsidRDefault="00EB0B4C">
      <w:pPr>
        <w:widowControl/>
        <w:spacing w:before="50" w:after="50"/>
        <w:jc w:val="left"/>
        <w:outlineLvl w:val="3"/>
        <w:rPr>
          <w:rFonts w:hAnsi="黑体"/>
        </w:rPr>
      </w:pPr>
      <w:r>
        <w:rPr>
          <w:rFonts w:ascii="黑体" w:eastAsia="黑体" w:hAnsi="黑体" w:cs="黑体"/>
        </w:rPr>
        <w:t xml:space="preserve">10.2.4 </w:t>
      </w:r>
      <w:r>
        <w:rPr>
          <w:rFonts w:ascii="黑体" w:eastAsia="黑体" w:hAnsi="黑体" w:cs="黑体" w:hint="eastAsia"/>
        </w:rPr>
        <w:t>工程初验收</w:t>
      </w:r>
    </w:p>
    <w:p w:rsidR="00F65813" w:rsidRDefault="00EB0B4C">
      <w:pPr>
        <w:pStyle w:val="a5"/>
        <w:numPr>
          <w:ilvl w:val="0"/>
          <w:numId w:val="0"/>
        </w:numPr>
        <w:spacing w:beforeLines="0" w:afterLines="0"/>
        <w:ind w:firstLineChars="200" w:firstLine="420"/>
        <w:outlineLvl w:val="9"/>
        <w:rPr>
          <w:rFonts w:ascii="Times New Roman" w:eastAsiaTheme="minorEastAsia" w:cs="Times New Roman"/>
          <w:color w:val="333333"/>
        </w:rPr>
      </w:pPr>
      <w:r>
        <w:rPr>
          <w:rFonts w:ascii="Times New Roman" w:eastAsiaTheme="minorEastAsia" w:cs="Times New Roman" w:hint="eastAsia"/>
          <w:color w:val="333333"/>
        </w:rPr>
        <w:t>项目通电试运行正常，建设单位督促工程监理组织进行初验收，并出具工程初验收报告。验收不合格的，施工单位根据验收意见书编制整改方案，经工程监理批准后实施；整改结束后，工程监理进行复验，并出具工程初验收复验报告。工程初验收资料应存档保管。</w:t>
      </w:r>
    </w:p>
    <w:p w:rsidR="00F65813" w:rsidRDefault="00EB0B4C">
      <w:pPr>
        <w:pStyle w:val="a4"/>
        <w:numPr>
          <w:ilvl w:val="0"/>
          <w:numId w:val="0"/>
        </w:numPr>
        <w:spacing w:before="156" w:after="156"/>
        <w:rPr>
          <w:rFonts w:ascii="Times New Roman" w:cs="Times New Roman"/>
        </w:rPr>
      </w:pPr>
      <w:r>
        <w:rPr>
          <w:rFonts w:hAnsi="黑体"/>
        </w:rPr>
        <w:t xml:space="preserve">10.3 </w:t>
      </w:r>
      <w:r>
        <w:rPr>
          <w:rFonts w:ascii="Times New Roman" w:cs="Times New Roman" w:hint="eastAsia"/>
        </w:rPr>
        <w:t>整体效果验收要求</w:t>
      </w:r>
    </w:p>
    <w:p w:rsidR="00F65813" w:rsidRDefault="00EB0B4C">
      <w:pPr>
        <w:pStyle w:val="a5"/>
        <w:numPr>
          <w:ilvl w:val="0"/>
          <w:numId w:val="0"/>
        </w:numPr>
        <w:spacing w:beforeLines="0" w:afterLines="0"/>
        <w:ind w:firstLineChars="200" w:firstLine="420"/>
        <w:outlineLvl w:val="9"/>
        <w:rPr>
          <w:rFonts w:ascii="Times New Roman" w:eastAsia="宋体" w:cs="Times New Roman"/>
          <w:color w:val="333333"/>
        </w:rPr>
      </w:pPr>
      <w:r>
        <w:rPr>
          <w:rFonts w:ascii="Times New Roman" w:eastAsia="宋体" w:cs="Times New Roman" w:hint="eastAsia"/>
          <w:color w:val="333333"/>
        </w:rPr>
        <w:t>建设单位根据效果调试的实际情况，组织设计单位、施工单位和专业人员对项目整体效果进行验收。宜对景观照明的照（亮）度进行测试，以检验实际效果是否满足方案效果和设计参数指标；检验实际效果与设计效果的吻合度。效果验收合格，由建设单位和设计单位共同出具工程效果</w:t>
      </w:r>
      <w:r>
        <w:rPr>
          <w:rFonts w:ascii="Times New Roman" w:eastAsia="宋体" w:cs="Times New Roman" w:hint="eastAsia"/>
          <w:color w:val="333333"/>
        </w:rPr>
        <w:t>验收报告，效果验收资料应存档保管。</w:t>
      </w:r>
    </w:p>
    <w:p w:rsidR="00F65813" w:rsidRDefault="00EB0B4C">
      <w:pPr>
        <w:pStyle w:val="a4"/>
        <w:numPr>
          <w:ilvl w:val="0"/>
          <w:numId w:val="0"/>
        </w:numPr>
        <w:spacing w:before="156" w:after="156"/>
        <w:rPr>
          <w:rFonts w:ascii="Times New Roman" w:cs="Times New Roman"/>
        </w:rPr>
      </w:pPr>
      <w:r>
        <w:rPr>
          <w:rFonts w:hAnsi="黑体"/>
        </w:rPr>
        <w:t xml:space="preserve">10.4 </w:t>
      </w:r>
      <w:r>
        <w:rPr>
          <w:rFonts w:ascii="Times New Roman" w:cs="Times New Roman" w:hint="eastAsia"/>
        </w:rPr>
        <w:t>工程竣工验收要求</w:t>
      </w:r>
    </w:p>
    <w:p w:rsidR="00F65813" w:rsidRDefault="00EB0B4C">
      <w:pPr>
        <w:pStyle w:val="a5"/>
        <w:numPr>
          <w:ilvl w:val="0"/>
          <w:numId w:val="0"/>
        </w:numPr>
        <w:spacing w:beforeLines="0" w:afterLines="0"/>
        <w:ind w:firstLineChars="200" w:firstLine="420"/>
        <w:outlineLvl w:val="9"/>
        <w:rPr>
          <w:rFonts w:ascii="Times New Roman" w:eastAsia="宋体" w:cs="Times New Roman"/>
          <w:color w:val="333333"/>
          <w:shd w:val="clear" w:color="auto" w:fill="FFFFFF"/>
        </w:rPr>
      </w:pPr>
      <w:r>
        <w:rPr>
          <w:rFonts w:ascii="Times New Roman" w:eastAsia="宋体" w:cs="Times New Roman" w:hint="eastAsia"/>
          <w:color w:val="333333"/>
          <w:shd w:val="clear" w:color="auto" w:fill="FFFFFF"/>
        </w:rPr>
        <w:t>初验收和效果验收合格后，施工单位出具工程自检验收合格报告并报请竣工验收。建设单位组织监理单位和施工单位进行工程竣工验收。工程竣工验收应符合施工验收规范，并满足设计要求。</w:t>
      </w:r>
    </w:p>
    <w:p w:rsidR="00F65813" w:rsidRDefault="00EB0B4C">
      <w:pPr>
        <w:pStyle w:val="a4"/>
        <w:numPr>
          <w:ilvl w:val="0"/>
          <w:numId w:val="0"/>
        </w:numPr>
        <w:spacing w:before="156" w:after="156"/>
        <w:rPr>
          <w:rFonts w:ascii="Times New Roman" w:cs="Times New Roman"/>
        </w:rPr>
      </w:pPr>
      <w:r>
        <w:rPr>
          <w:rFonts w:hAnsi="黑体"/>
        </w:rPr>
        <w:t xml:space="preserve">10.5 </w:t>
      </w:r>
      <w:r>
        <w:rPr>
          <w:rFonts w:ascii="Times New Roman" w:cs="Times New Roman" w:hint="eastAsia"/>
        </w:rPr>
        <w:t>工程竣工资料归档要求</w:t>
      </w:r>
    </w:p>
    <w:p w:rsidR="00F65813" w:rsidRDefault="00EB0B4C">
      <w:pPr>
        <w:pStyle w:val="a5"/>
        <w:numPr>
          <w:ilvl w:val="0"/>
          <w:numId w:val="0"/>
        </w:numPr>
        <w:spacing w:beforeLines="0" w:afterLines="0"/>
        <w:ind w:firstLineChars="200" w:firstLine="420"/>
        <w:outlineLvl w:val="9"/>
        <w:rPr>
          <w:rFonts w:ascii="Times New Roman" w:eastAsiaTheme="minorEastAsia" w:cs="Times New Roman"/>
        </w:rPr>
      </w:pPr>
      <w:r>
        <w:rPr>
          <w:rFonts w:ascii="Times New Roman" w:eastAsia="宋体" w:cs="Times New Roman" w:hint="eastAsia"/>
          <w:color w:val="333333"/>
          <w:shd w:val="clear" w:color="auto" w:fill="FFFFFF"/>
        </w:rPr>
        <w:t>工程竣工验收合格后，建设单位和监理单位签署工程质量竣工验收记录、工程观感质量检验记录、工程竣工合格通知书等。施工单位应编制完整的工程质量竣工资料并归档保管。</w:t>
      </w:r>
    </w:p>
    <w:p w:rsidR="00F65813" w:rsidRDefault="00EB0B4C">
      <w:pPr>
        <w:pStyle w:val="a3"/>
        <w:numPr>
          <w:ilvl w:val="0"/>
          <w:numId w:val="0"/>
        </w:numPr>
        <w:spacing w:before="312" w:after="312"/>
        <w:rPr>
          <w:rFonts w:ascii="Times New Roman" w:cs="Times New Roman"/>
        </w:rPr>
      </w:pPr>
      <w:bookmarkStart w:id="226" w:name="_Toc71206591"/>
      <w:r>
        <w:rPr>
          <w:rFonts w:ascii="Times New Roman" w:cs="Times New Roman"/>
        </w:rPr>
        <w:t xml:space="preserve">11   </w:t>
      </w:r>
      <w:r>
        <w:rPr>
          <w:rFonts w:ascii="Times New Roman" w:cs="Times New Roman" w:hint="eastAsia"/>
        </w:rPr>
        <w:t>运行维护</w:t>
      </w:r>
      <w:bookmarkEnd w:id="225"/>
      <w:bookmarkEnd w:id="226"/>
    </w:p>
    <w:p w:rsidR="00F65813" w:rsidRPr="00F65813" w:rsidRDefault="00EB0B4C">
      <w:pPr>
        <w:pStyle w:val="a4"/>
        <w:numPr>
          <w:ilvl w:val="0"/>
          <w:numId w:val="0"/>
        </w:numPr>
        <w:spacing w:before="156" w:after="156"/>
        <w:rPr>
          <w:color w:val="000000" w:themeColor="text1"/>
        </w:rPr>
      </w:pPr>
      <w:bookmarkStart w:id="227" w:name="_Toc71206592"/>
      <w:r>
        <w:rPr>
          <w:rFonts w:hAnsi="黑体"/>
        </w:rPr>
        <w:t xml:space="preserve">11.1 </w:t>
      </w:r>
      <w:r>
        <w:rPr>
          <w:rFonts w:hint="eastAsia"/>
        </w:rPr>
        <w:t>一般要求</w:t>
      </w:r>
      <w:bookmarkEnd w:id="227"/>
    </w:p>
    <w:p w:rsidR="00F65813" w:rsidRPr="00F65813" w:rsidRDefault="00F65813">
      <w:pPr>
        <w:pStyle w:val="a5"/>
        <w:numPr>
          <w:ilvl w:val="0"/>
          <w:numId w:val="0"/>
        </w:numPr>
        <w:spacing w:beforeLines="0" w:afterLines="0"/>
        <w:jc w:val="both"/>
        <w:rPr>
          <w:rFonts w:ascii="宋体" w:eastAsia="宋体" w:hAnsi="宋体"/>
          <w:color w:val="000000" w:themeColor="text1"/>
        </w:rPr>
      </w:pPr>
      <w:r w:rsidRPr="00F65813">
        <w:rPr>
          <w:rFonts w:hAnsi="黑体"/>
          <w:color w:val="000000" w:themeColor="text1"/>
        </w:rPr>
        <w:t xml:space="preserve">11.1.1 </w:t>
      </w:r>
      <w:r w:rsidRPr="00F65813">
        <w:rPr>
          <w:rFonts w:ascii="宋体" w:eastAsia="宋体" w:hAnsi="宋体" w:cs="Times New Roman" w:hint="eastAsia"/>
          <w:color w:val="000000" w:themeColor="text1"/>
        </w:rPr>
        <w:t>景观照明设施应开展巡视和养护工作，并定期开展检查，</w:t>
      </w:r>
      <w:r w:rsidRPr="00F65813">
        <w:rPr>
          <w:rFonts w:ascii="宋体" w:eastAsia="宋体" w:hAnsi="宋体" w:cs="Times New Roman"/>
          <w:color w:val="000000" w:themeColor="text1"/>
        </w:rPr>
        <w:t>确保安全、正常运行。</w:t>
      </w:r>
      <w:bookmarkStart w:id="228" w:name="_Hlk88682708"/>
      <w:r w:rsidRPr="00F65813">
        <w:rPr>
          <w:rFonts w:ascii="宋体" w:eastAsia="宋体" w:hAnsi="宋体" w:cs="Times New Roman" w:hint="eastAsia"/>
          <w:color w:val="000000" w:themeColor="text1"/>
        </w:rPr>
        <w:t>在</w:t>
      </w:r>
      <w:r w:rsidRPr="00F65813">
        <w:rPr>
          <w:rFonts w:ascii="宋体" w:eastAsia="宋体" w:hAnsi="宋体" w:cs="Times New Roman" w:hint="eastAsia"/>
          <w:color w:val="FF0000"/>
        </w:rPr>
        <w:t>重大节日或重大活动</w:t>
      </w:r>
      <w:r w:rsidRPr="00F65813">
        <w:rPr>
          <w:rFonts w:ascii="宋体" w:eastAsia="宋体" w:hAnsi="宋体" w:cs="Times New Roman"/>
          <w:color w:val="000000" w:themeColor="text1"/>
        </w:rPr>
        <w:t>前</w:t>
      </w:r>
      <w:bookmarkEnd w:id="228"/>
      <w:r w:rsidRPr="00F65813">
        <w:rPr>
          <w:rFonts w:ascii="宋体" w:eastAsia="宋体" w:hAnsi="宋体" w:cs="Times New Roman" w:hint="eastAsia"/>
          <w:color w:val="000000" w:themeColor="text1"/>
        </w:rPr>
        <w:t>，</w:t>
      </w:r>
      <w:r w:rsidRPr="00F65813">
        <w:rPr>
          <w:rFonts w:ascii="宋体" w:eastAsia="宋体" w:hAnsi="宋体" w:cs="Times New Roman"/>
          <w:color w:val="000000" w:themeColor="text1"/>
        </w:rPr>
        <w:t>应对景观照明设施进行全面检查。</w:t>
      </w:r>
      <w:r w:rsidRPr="00F65813">
        <w:rPr>
          <w:rFonts w:ascii="宋体" w:eastAsia="宋体" w:hAnsi="宋体" w:cs="Times New Roman" w:hint="eastAsia"/>
          <w:color w:val="000000" w:themeColor="text1"/>
        </w:rPr>
        <w:t>橙色及以上气象预警（不含高温），以及</w:t>
      </w:r>
      <w:r w:rsidRPr="00F65813">
        <w:rPr>
          <w:rFonts w:ascii="宋体" w:eastAsia="宋体" w:hAnsi="宋体" w:cs="Times New Roman"/>
          <w:color w:val="000000" w:themeColor="text1"/>
        </w:rPr>
        <w:t>大风、暴雨等灾害性天气</w:t>
      </w:r>
      <w:r w:rsidRPr="00F65813">
        <w:rPr>
          <w:rFonts w:ascii="宋体" w:eastAsia="宋体" w:hAnsi="宋体" w:cs="Times New Roman" w:hint="eastAsia"/>
          <w:color w:val="000000" w:themeColor="text1"/>
        </w:rPr>
        <w:t>后</w:t>
      </w:r>
      <w:r w:rsidRPr="00F65813">
        <w:rPr>
          <w:rFonts w:ascii="宋体" w:eastAsia="宋体" w:hAnsi="宋体" w:cs="Times New Roman"/>
          <w:color w:val="000000" w:themeColor="text1"/>
        </w:rPr>
        <w:t>，应开展安全巡视检查</w:t>
      </w:r>
      <w:r w:rsidRPr="00F65813">
        <w:rPr>
          <w:rFonts w:ascii="宋体" w:eastAsia="宋体" w:hAnsi="宋体" w:hint="eastAsia"/>
          <w:color w:val="000000" w:themeColor="text1"/>
        </w:rPr>
        <w:t>。</w:t>
      </w:r>
    </w:p>
    <w:p w:rsidR="00F65813" w:rsidRPr="00F65813" w:rsidRDefault="00F65813">
      <w:pPr>
        <w:pStyle w:val="a5"/>
        <w:numPr>
          <w:ilvl w:val="0"/>
          <w:numId w:val="0"/>
        </w:numPr>
        <w:spacing w:beforeLines="0" w:afterLines="0"/>
        <w:rPr>
          <w:rFonts w:ascii="宋体" w:eastAsia="宋体" w:hAnsi="宋体" w:cs="Times New Roman"/>
          <w:color w:val="000000" w:themeColor="text1"/>
        </w:rPr>
      </w:pPr>
      <w:r w:rsidRPr="00F65813">
        <w:rPr>
          <w:rFonts w:hAnsi="黑体"/>
          <w:color w:val="000000" w:themeColor="text1"/>
        </w:rPr>
        <w:t xml:space="preserve">11.1.2 </w:t>
      </w:r>
      <w:r w:rsidRPr="00F65813">
        <w:rPr>
          <w:rFonts w:ascii="宋体" w:eastAsia="宋体" w:hAnsi="宋体" w:cs="Times New Roman"/>
          <w:color w:val="000000" w:themeColor="text1"/>
        </w:rPr>
        <w:t>维护操作</w:t>
      </w:r>
      <w:r w:rsidRPr="00F65813">
        <w:rPr>
          <w:rFonts w:ascii="宋体" w:eastAsia="宋体" w:hAnsi="宋体" w:cs="Times New Roman" w:hint="eastAsia"/>
          <w:color w:val="000000" w:themeColor="text1"/>
        </w:rPr>
        <w:t>应符合施工规范；</w:t>
      </w:r>
      <w:r w:rsidRPr="00F65813">
        <w:rPr>
          <w:rFonts w:ascii="宋体" w:eastAsia="宋体" w:hAnsi="宋体" w:cs="Times New Roman"/>
          <w:color w:val="000000" w:themeColor="text1"/>
        </w:rPr>
        <w:t>所选用的设备、材料</w:t>
      </w:r>
      <w:r w:rsidRPr="00F65813">
        <w:rPr>
          <w:rFonts w:ascii="宋体" w:eastAsia="宋体" w:hAnsi="宋体" w:cs="Times New Roman" w:hint="eastAsia"/>
          <w:color w:val="000000" w:themeColor="text1"/>
        </w:rPr>
        <w:t>中，纳入国家强制性产品认证目录的产品应具有</w:t>
      </w:r>
      <w:r w:rsidRPr="00F65813">
        <w:rPr>
          <w:rFonts w:ascii="宋体" w:eastAsia="宋体" w:hAnsi="宋体" w:cs="Times New Roman"/>
          <w:color w:val="000000" w:themeColor="text1"/>
        </w:rPr>
        <w:t>CCC认证标志，如电器元件、电线电缆等。</w:t>
      </w:r>
    </w:p>
    <w:p w:rsidR="00F65813" w:rsidRDefault="00EB0B4C">
      <w:pPr>
        <w:pStyle w:val="a5"/>
        <w:numPr>
          <w:ilvl w:val="0"/>
          <w:numId w:val="0"/>
        </w:numPr>
        <w:spacing w:beforeLines="0" w:afterLines="0"/>
        <w:rPr>
          <w:rFonts w:ascii="宋体" w:eastAsia="宋体" w:hAnsi="宋体" w:cs="Times New Roman"/>
        </w:rPr>
      </w:pPr>
      <w:r>
        <w:rPr>
          <w:rFonts w:hAnsi="黑体"/>
        </w:rPr>
        <w:t xml:space="preserve">11.1.3 </w:t>
      </w:r>
      <w:r>
        <w:rPr>
          <w:rFonts w:ascii="宋体" w:eastAsia="宋体" w:hAnsi="宋体" w:cs="Times New Roman" w:hint="eastAsia"/>
        </w:rPr>
        <w:t>质保期限后，景观照明设施应每年检修。超过设计使用年限的，应予以更新改造或拆除；未明确设计使用年限的，应在设置使用</w:t>
      </w:r>
      <w:r>
        <w:rPr>
          <w:rFonts w:ascii="宋体" w:eastAsia="宋体" w:hAnsi="宋体" w:cs="Times New Roman"/>
        </w:rPr>
        <w:t>5</w:t>
      </w:r>
      <w:r>
        <w:rPr>
          <w:rFonts w:ascii="宋体" w:eastAsia="宋体" w:hAnsi="宋体" w:cs="Times New Roman"/>
        </w:rPr>
        <w:t>年后最迟不超过</w:t>
      </w:r>
      <w:r>
        <w:rPr>
          <w:rFonts w:ascii="宋体" w:eastAsia="宋体" w:hAnsi="宋体" w:cs="Times New Roman"/>
        </w:rPr>
        <w:t>8</w:t>
      </w:r>
      <w:r>
        <w:rPr>
          <w:rFonts w:ascii="宋体" w:eastAsia="宋体" w:hAnsi="宋体" w:cs="Times New Roman"/>
        </w:rPr>
        <w:t>年，</w:t>
      </w:r>
      <w:r>
        <w:rPr>
          <w:rFonts w:ascii="宋体" w:eastAsia="宋体" w:hAnsi="宋体" w:cs="Times New Roman" w:hint="eastAsia"/>
        </w:rPr>
        <w:t>组织专家对景观照</w:t>
      </w:r>
      <w:r>
        <w:rPr>
          <w:rFonts w:ascii="宋体" w:eastAsia="宋体" w:hAnsi="宋体" w:cs="Times New Roman" w:hint="eastAsia"/>
        </w:rPr>
        <w:t>明设施（灯具、控制系统等）进行评估，并出具评估意见，根据评估结果予以更新改造或拆除。</w:t>
      </w:r>
    </w:p>
    <w:p w:rsidR="00F65813" w:rsidRDefault="00EB0B4C">
      <w:pPr>
        <w:pStyle w:val="a4"/>
        <w:numPr>
          <w:ilvl w:val="0"/>
          <w:numId w:val="0"/>
        </w:numPr>
        <w:spacing w:before="156" w:after="156"/>
      </w:pPr>
      <w:bookmarkStart w:id="229" w:name="_Toc71206593"/>
      <w:r>
        <w:rPr>
          <w:rFonts w:hAnsi="黑体"/>
        </w:rPr>
        <w:t xml:space="preserve">11.2 </w:t>
      </w:r>
      <w:r>
        <w:rPr>
          <w:rFonts w:hint="eastAsia"/>
        </w:rPr>
        <w:t>灯具设施维护要求</w:t>
      </w:r>
      <w:bookmarkEnd w:id="229"/>
    </w:p>
    <w:p w:rsidR="00F65813" w:rsidRDefault="00EB0B4C">
      <w:pPr>
        <w:pStyle w:val="a5"/>
        <w:numPr>
          <w:ilvl w:val="0"/>
          <w:numId w:val="0"/>
        </w:numPr>
        <w:spacing w:beforeLines="0" w:afterLines="0"/>
        <w:rPr>
          <w:rFonts w:ascii="宋体" w:eastAsia="宋体" w:hAnsi="宋体" w:cs="Times New Roman"/>
        </w:rPr>
      </w:pPr>
      <w:r>
        <w:rPr>
          <w:rFonts w:hAnsi="黑体"/>
        </w:rPr>
        <w:t xml:space="preserve">11.2.1 </w:t>
      </w:r>
      <w:r>
        <w:rPr>
          <w:rFonts w:ascii="宋体" w:eastAsia="宋体" w:hAnsi="宋体" w:cs="Times New Roman" w:hint="eastAsia"/>
        </w:rPr>
        <w:t>应定期按照原设计要求，对灯具设施存在的闪烁、明显光衰、明显色差等情况进行检查。</w:t>
      </w:r>
    </w:p>
    <w:p w:rsidR="00F65813" w:rsidRDefault="00EB0B4C">
      <w:pPr>
        <w:pStyle w:val="a5"/>
        <w:numPr>
          <w:ilvl w:val="0"/>
          <w:numId w:val="0"/>
        </w:numPr>
        <w:spacing w:beforeLines="0" w:afterLines="0"/>
        <w:rPr>
          <w:rFonts w:ascii="宋体" w:eastAsia="宋体" w:hAnsi="宋体" w:cs="Times New Roman"/>
        </w:rPr>
      </w:pPr>
      <w:r>
        <w:rPr>
          <w:rFonts w:hAnsi="黑体"/>
        </w:rPr>
        <w:lastRenderedPageBreak/>
        <w:t xml:space="preserve">11.2.2 </w:t>
      </w:r>
      <w:r>
        <w:rPr>
          <w:rFonts w:ascii="宋体" w:eastAsia="宋体" w:hAnsi="宋体" w:cs="Times New Roman"/>
        </w:rPr>
        <w:t>灯具设施定期</w:t>
      </w:r>
      <w:r>
        <w:rPr>
          <w:rFonts w:ascii="宋体" w:eastAsia="宋体" w:hAnsi="宋体" w:cs="Times New Roman" w:hint="eastAsia"/>
        </w:rPr>
        <w:t>检查</w:t>
      </w:r>
      <w:r>
        <w:rPr>
          <w:rFonts w:ascii="宋体" w:eastAsia="宋体" w:hAnsi="宋体" w:cs="Times New Roman"/>
        </w:rPr>
        <w:t>内容及维护要求应按表</w:t>
      </w:r>
      <w:r>
        <w:rPr>
          <w:rFonts w:ascii="宋体" w:eastAsia="宋体" w:hAnsi="宋体" w:cs="Times New Roman"/>
        </w:rPr>
        <w:t>9</w:t>
      </w:r>
      <w:r>
        <w:rPr>
          <w:rFonts w:ascii="宋体" w:eastAsia="宋体" w:hAnsi="宋体" w:cs="Times New Roman"/>
        </w:rPr>
        <w:t>执行</w:t>
      </w:r>
      <w:r>
        <w:rPr>
          <w:rFonts w:ascii="宋体" w:eastAsia="宋体" w:hAnsi="宋体" w:cs="Times New Roman" w:hint="eastAsia"/>
        </w:rPr>
        <w:t>。</w:t>
      </w:r>
    </w:p>
    <w:p w:rsidR="00F65813" w:rsidRDefault="00EB0B4C">
      <w:pPr>
        <w:pStyle w:val="af4"/>
        <w:keepNext/>
        <w:widowControl w:val="0"/>
        <w:numPr>
          <w:ilvl w:val="0"/>
          <w:numId w:val="0"/>
        </w:numPr>
        <w:tabs>
          <w:tab w:val="center" w:pos="4153"/>
          <w:tab w:val="left" w:pos="6691"/>
        </w:tabs>
        <w:spacing w:before="156" w:after="156"/>
        <w:rPr>
          <w:rFonts w:ascii="Times New Roman" w:cs="Times New Roman"/>
        </w:rPr>
      </w:pPr>
      <w:r>
        <w:rPr>
          <w:rFonts w:ascii="Times New Roman" w:cs="Times New Roman" w:hint="eastAsia"/>
        </w:rPr>
        <w:t>表</w:t>
      </w:r>
      <w:r>
        <w:rPr>
          <w:rFonts w:ascii="Times New Roman" w:cs="Times New Roman"/>
        </w:rPr>
        <w:t xml:space="preserve">9  </w:t>
      </w:r>
      <w:r>
        <w:rPr>
          <w:rFonts w:ascii="Times New Roman" w:cs="Times New Roman" w:hint="eastAsia"/>
        </w:rPr>
        <w:t>灯具设施定期检查内容及维护要求</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91"/>
        <w:gridCol w:w="5338"/>
        <w:gridCol w:w="1941"/>
      </w:tblGrid>
      <w:tr w:rsidR="00F65813">
        <w:trPr>
          <w:trHeight w:val="495"/>
          <w:jc w:val="center"/>
        </w:trPr>
        <w:tc>
          <w:tcPr>
            <w:tcW w:w="1197"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检查内容</w:t>
            </w:r>
          </w:p>
        </w:tc>
        <w:tc>
          <w:tcPr>
            <w:tcW w:w="2789"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维护要求</w:t>
            </w:r>
          </w:p>
        </w:tc>
        <w:tc>
          <w:tcPr>
            <w:tcW w:w="1014"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检查频率</w:t>
            </w:r>
          </w:p>
        </w:tc>
      </w:tr>
      <w:tr w:rsidR="00F65813" w:rsidTr="00F65813">
        <w:trPr>
          <w:trHeight w:val="1152"/>
          <w:jc w:val="center"/>
        </w:trPr>
        <w:tc>
          <w:tcPr>
            <w:tcW w:w="1197" w:type="pct"/>
            <w:vMerge w:val="restar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灯具</w:t>
            </w:r>
          </w:p>
        </w:tc>
        <w:tc>
          <w:tcPr>
            <w:tcW w:w="2789" w:type="pc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无损坏、松动、形变、破损、腐蚀、脱落、漏电，出光口宜清洁无污染</w:t>
            </w:r>
          </w:p>
        </w:tc>
        <w:tc>
          <w:tcPr>
            <w:tcW w:w="1014" w:type="pct"/>
            <w:vMerge w:val="restar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每月，重大节日或重大活动</w:t>
            </w:r>
          </w:p>
        </w:tc>
      </w:tr>
      <w:tr w:rsidR="00F65813">
        <w:trPr>
          <w:trHeight w:val="423"/>
          <w:jc w:val="center"/>
        </w:trPr>
        <w:tc>
          <w:tcPr>
            <w:tcW w:w="1197" w:type="pct"/>
            <w:vMerge/>
            <w:shd w:val="clear" w:color="auto" w:fill="auto"/>
            <w:vAlign w:val="center"/>
          </w:tcPr>
          <w:p w:rsidR="00F65813" w:rsidRDefault="00F65813">
            <w:pPr>
              <w:keepNext/>
              <w:adjustRightInd w:val="0"/>
              <w:snapToGrid w:val="0"/>
              <w:spacing w:after="0"/>
              <w:jc w:val="center"/>
              <w:rPr>
                <w:bCs/>
                <w:kern w:val="0"/>
                <w:sz w:val="18"/>
              </w:rPr>
            </w:pPr>
          </w:p>
        </w:tc>
        <w:tc>
          <w:tcPr>
            <w:tcW w:w="2789"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无不亮、闪烁、缺色，无明显光衰和色差</w:t>
            </w:r>
          </w:p>
        </w:tc>
        <w:tc>
          <w:tcPr>
            <w:tcW w:w="1014" w:type="pct"/>
            <w:vMerge/>
            <w:shd w:val="clear" w:color="auto" w:fill="auto"/>
            <w:vAlign w:val="center"/>
          </w:tcPr>
          <w:p w:rsidR="00F65813" w:rsidRDefault="00F65813">
            <w:pPr>
              <w:keepNext/>
              <w:adjustRightInd w:val="0"/>
              <w:snapToGrid w:val="0"/>
              <w:spacing w:after="0"/>
              <w:jc w:val="center"/>
              <w:rPr>
                <w:bCs/>
                <w:kern w:val="0"/>
                <w:sz w:val="18"/>
              </w:rPr>
            </w:pPr>
          </w:p>
        </w:tc>
      </w:tr>
      <w:tr w:rsidR="00F65813">
        <w:trPr>
          <w:trHeight w:val="495"/>
          <w:jc w:val="center"/>
        </w:trPr>
        <w:tc>
          <w:tcPr>
            <w:tcW w:w="1197" w:type="pct"/>
            <w:vMerge/>
            <w:shd w:val="clear" w:color="auto" w:fill="auto"/>
            <w:vAlign w:val="center"/>
          </w:tcPr>
          <w:p w:rsidR="00F65813" w:rsidRDefault="00F65813">
            <w:pPr>
              <w:keepNext/>
              <w:adjustRightInd w:val="0"/>
              <w:snapToGrid w:val="0"/>
              <w:spacing w:after="0"/>
              <w:jc w:val="center"/>
              <w:rPr>
                <w:bCs/>
                <w:kern w:val="0"/>
                <w:sz w:val="18"/>
              </w:rPr>
            </w:pPr>
          </w:p>
        </w:tc>
        <w:tc>
          <w:tcPr>
            <w:tcW w:w="2789"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投射方向、角度、位置应符合原设计要求</w:t>
            </w:r>
          </w:p>
        </w:tc>
        <w:tc>
          <w:tcPr>
            <w:tcW w:w="1014" w:type="pct"/>
            <w:vMerge/>
            <w:shd w:val="clear" w:color="auto" w:fill="auto"/>
            <w:vAlign w:val="center"/>
          </w:tcPr>
          <w:p w:rsidR="00F65813" w:rsidRDefault="00F65813">
            <w:pPr>
              <w:keepNext/>
              <w:adjustRightInd w:val="0"/>
              <w:snapToGrid w:val="0"/>
              <w:spacing w:after="0"/>
              <w:jc w:val="center"/>
              <w:rPr>
                <w:bCs/>
                <w:kern w:val="0"/>
                <w:sz w:val="18"/>
              </w:rPr>
            </w:pPr>
          </w:p>
        </w:tc>
      </w:tr>
      <w:tr w:rsidR="00F65813">
        <w:trPr>
          <w:trHeight w:val="495"/>
          <w:jc w:val="center"/>
        </w:trPr>
        <w:tc>
          <w:tcPr>
            <w:tcW w:w="1197"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固定支架</w:t>
            </w:r>
          </w:p>
        </w:tc>
        <w:tc>
          <w:tcPr>
            <w:tcW w:w="2789"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牢固可靠，无松动、锈蚀、移位、变形、脱落等</w:t>
            </w:r>
          </w:p>
        </w:tc>
        <w:tc>
          <w:tcPr>
            <w:tcW w:w="1014"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每半年</w:t>
            </w:r>
          </w:p>
        </w:tc>
      </w:tr>
    </w:tbl>
    <w:p w:rsidR="00F65813" w:rsidRDefault="00F65813"/>
    <w:p w:rsidR="00F65813" w:rsidRDefault="00EB0B4C">
      <w:pPr>
        <w:pStyle w:val="a4"/>
        <w:numPr>
          <w:ilvl w:val="0"/>
          <w:numId w:val="0"/>
        </w:numPr>
        <w:spacing w:before="156" w:after="156"/>
        <w:rPr>
          <w:rFonts w:ascii="Times New Roman" w:cs="Times New Roman"/>
        </w:rPr>
      </w:pPr>
      <w:bookmarkStart w:id="230" w:name="_Toc71206594"/>
      <w:r>
        <w:rPr>
          <w:rFonts w:hAnsi="黑体"/>
        </w:rPr>
        <w:t xml:space="preserve">11.3 </w:t>
      </w:r>
      <w:r>
        <w:rPr>
          <w:rFonts w:ascii="Times New Roman" w:cs="Times New Roman" w:hint="eastAsia"/>
        </w:rPr>
        <w:t>配电控制系统维护要求</w:t>
      </w:r>
      <w:bookmarkEnd w:id="230"/>
    </w:p>
    <w:p w:rsidR="00F65813" w:rsidRDefault="00EB0B4C">
      <w:pPr>
        <w:pStyle w:val="a5"/>
        <w:numPr>
          <w:ilvl w:val="0"/>
          <w:numId w:val="0"/>
        </w:numPr>
        <w:spacing w:beforeLines="0" w:afterLines="0"/>
        <w:rPr>
          <w:rFonts w:asciiTheme="minorEastAsia" w:eastAsiaTheme="minorEastAsia" w:hAnsiTheme="minorEastAsia" w:cs="Times New Roman"/>
        </w:rPr>
      </w:pPr>
      <w:r>
        <w:rPr>
          <w:rFonts w:hAnsi="黑体"/>
        </w:rPr>
        <w:t xml:space="preserve">11.3.1 </w:t>
      </w:r>
      <w:r>
        <w:rPr>
          <w:rFonts w:asciiTheme="minorEastAsia" w:eastAsiaTheme="minorEastAsia" w:hAnsiTheme="minorEastAsia" w:cs="Times New Roman"/>
        </w:rPr>
        <w:t>应定期检查，确保配电系统、控制系统的安全、可靠运行。对配电设施进行维修时，所使用维修</w:t>
      </w:r>
      <w:r>
        <w:rPr>
          <w:rFonts w:asciiTheme="minorEastAsia" w:eastAsiaTheme="minorEastAsia" w:hAnsiTheme="minorEastAsia" w:cs="Times New Roman" w:hint="eastAsia"/>
        </w:rPr>
        <w:t>部</w:t>
      </w:r>
      <w:r>
        <w:rPr>
          <w:rFonts w:asciiTheme="minorEastAsia" w:eastAsiaTheme="minorEastAsia" w:hAnsiTheme="minorEastAsia" w:cs="Times New Roman"/>
        </w:rPr>
        <w:t>件的技术指标应</w:t>
      </w:r>
      <w:r>
        <w:rPr>
          <w:rFonts w:asciiTheme="minorEastAsia" w:eastAsiaTheme="minorEastAsia" w:hAnsiTheme="minorEastAsia" w:cs="Times New Roman" w:hint="eastAsia"/>
        </w:rPr>
        <w:t>不低于</w:t>
      </w:r>
      <w:r>
        <w:rPr>
          <w:rFonts w:asciiTheme="minorEastAsia" w:eastAsiaTheme="minorEastAsia" w:hAnsiTheme="minorEastAsia" w:cs="Times New Roman"/>
        </w:rPr>
        <w:t>原部件</w:t>
      </w:r>
      <w:r>
        <w:rPr>
          <w:rFonts w:asciiTheme="minorEastAsia" w:eastAsiaTheme="minorEastAsia" w:hAnsiTheme="minorEastAsia" w:cs="Times New Roman" w:hint="eastAsia"/>
        </w:rPr>
        <w:t>。</w:t>
      </w:r>
    </w:p>
    <w:p w:rsidR="00F65813" w:rsidRDefault="00EB0B4C">
      <w:pPr>
        <w:pStyle w:val="a5"/>
        <w:numPr>
          <w:ilvl w:val="0"/>
          <w:numId w:val="0"/>
        </w:numPr>
        <w:spacing w:beforeLines="0" w:afterLines="0"/>
        <w:rPr>
          <w:rFonts w:asciiTheme="minorEastAsia" w:eastAsiaTheme="minorEastAsia" w:hAnsiTheme="minorEastAsia" w:cs="Times New Roman"/>
        </w:rPr>
      </w:pPr>
      <w:r>
        <w:rPr>
          <w:rFonts w:hAnsi="黑体"/>
        </w:rPr>
        <w:t xml:space="preserve">11.3.2 </w:t>
      </w:r>
      <w:r>
        <w:rPr>
          <w:rFonts w:asciiTheme="minorEastAsia" w:eastAsiaTheme="minorEastAsia" w:hAnsiTheme="minorEastAsia" w:cs="Times New Roman" w:hint="eastAsia"/>
        </w:rPr>
        <w:t>配电箱、控制箱等定期检查内容及维护要求应按表</w:t>
      </w:r>
      <w:r>
        <w:rPr>
          <w:rFonts w:asciiTheme="minorEastAsia" w:eastAsiaTheme="minorEastAsia" w:hAnsiTheme="minorEastAsia" w:cs="Times New Roman"/>
        </w:rPr>
        <w:t>10</w:t>
      </w:r>
      <w:r>
        <w:rPr>
          <w:rFonts w:asciiTheme="minorEastAsia" w:eastAsiaTheme="minorEastAsia" w:hAnsiTheme="minorEastAsia" w:cs="Times New Roman" w:hint="eastAsia"/>
        </w:rPr>
        <w:t>执行。</w:t>
      </w:r>
    </w:p>
    <w:p w:rsidR="00F65813" w:rsidRDefault="00EB0B4C">
      <w:pPr>
        <w:pStyle w:val="af4"/>
        <w:keepNext/>
        <w:widowControl w:val="0"/>
        <w:numPr>
          <w:ilvl w:val="0"/>
          <w:numId w:val="0"/>
        </w:numPr>
        <w:tabs>
          <w:tab w:val="left" w:pos="360"/>
        </w:tabs>
        <w:spacing w:before="156" w:after="156"/>
        <w:rPr>
          <w:rFonts w:ascii="Times New Roman" w:cs="Times New Roman"/>
        </w:rPr>
      </w:pPr>
      <w:r>
        <w:rPr>
          <w:rFonts w:ascii="Times New Roman" w:cs="Times New Roman" w:hint="eastAsia"/>
        </w:rPr>
        <w:t>表</w:t>
      </w:r>
      <w:r>
        <w:rPr>
          <w:rFonts w:ascii="Times New Roman" w:cs="Times New Roman"/>
        </w:rPr>
        <w:t xml:space="preserve">10  </w:t>
      </w:r>
      <w:r>
        <w:rPr>
          <w:rFonts w:ascii="Times New Roman" w:cs="Times New Roman" w:hint="eastAsia"/>
        </w:rPr>
        <w:t>配电箱、控制箱等定期检查内容及维护要求</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42"/>
        <w:gridCol w:w="5210"/>
        <w:gridCol w:w="2318"/>
      </w:tblGrid>
      <w:tr w:rsidR="00F65813">
        <w:trPr>
          <w:trHeight w:val="537"/>
          <w:jc w:val="center"/>
        </w:trPr>
        <w:tc>
          <w:tcPr>
            <w:tcW w:w="1067"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检查内容</w:t>
            </w:r>
          </w:p>
        </w:tc>
        <w:tc>
          <w:tcPr>
            <w:tcW w:w="2722"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维护要求</w:t>
            </w:r>
          </w:p>
        </w:tc>
        <w:tc>
          <w:tcPr>
            <w:tcW w:w="1211"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检查频率</w:t>
            </w:r>
          </w:p>
        </w:tc>
      </w:tr>
      <w:tr w:rsidR="00F65813">
        <w:trPr>
          <w:trHeight w:val="537"/>
          <w:jc w:val="center"/>
        </w:trPr>
        <w:tc>
          <w:tcPr>
            <w:tcW w:w="1067"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箱体、箱门、门锁</w:t>
            </w:r>
          </w:p>
        </w:tc>
        <w:tc>
          <w:tcPr>
            <w:tcW w:w="2722"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门锁、涂层完好，箱体无变形、水浸、杂物</w:t>
            </w:r>
          </w:p>
        </w:tc>
        <w:tc>
          <w:tcPr>
            <w:tcW w:w="1211"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每季度及大风、暴雨后</w:t>
            </w:r>
          </w:p>
        </w:tc>
      </w:tr>
      <w:tr w:rsidR="00F65813">
        <w:trPr>
          <w:trHeight w:val="537"/>
          <w:jc w:val="center"/>
        </w:trPr>
        <w:tc>
          <w:tcPr>
            <w:tcW w:w="1067"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仪表、信号灯</w:t>
            </w:r>
          </w:p>
        </w:tc>
        <w:tc>
          <w:tcPr>
            <w:tcW w:w="2722"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齐全完好、指示正常、显示准确</w:t>
            </w:r>
          </w:p>
        </w:tc>
        <w:tc>
          <w:tcPr>
            <w:tcW w:w="1211"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每季度</w:t>
            </w:r>
          </w:p>
        </w:tc>
      </w:tr>
      <w:tr w:rsidR="00F65813">
        <w:trPr>
          <w:trHeight w:val="537"/>
          <w:jc w:val="center"/>
        </w:trPr>
        <w:tc>
          <w:tcPr>
            <w:tcW w:w="1067"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熔断器、断路器、接触器</w:t>
            </w:r>
          </w:p>
        </w:tc>
        <w:tc>
          <w:tcPr>
            <w:tcW w:w="2722"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导线压接牢固，动作可靠准确</w:t>
            </w:r>
          </w:p>
        </w:tc>
        <w:tc>
          <w:tcPr>
            <w:tcW w:w="1211"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每半年</w:t>
            </w:r>
          </w:p>
        </w:tc>
      </w:tr>
      <w:tr w:rsidR="00F65813">
        <w:trPr>
          <w:trHeight w:val="537"/>
          <w:jc w:val="center"/>
        </w:trPr>
        <w:tc>
          <w:tcPr>
            <w:tcW w:w="1067"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器件、接线端子</w:t>
            </w:r>
          </w:p>
        </w:tc>
        <w:tc>
          <w:tcPr>
            <w:tcW w:w="2722"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牢固可靠，布线整齐</w:t>
            </w:r>
          </w:p>
        </w:tc>
        <w:tc>
          <w:tcPr>
            <w:tcW w:w="1211"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每月</w:t>
            </w:r>
          </w:p>
        </w:tc>
      </w:tr>
    </w:tbl>
    <w:p w:rsidR="00F65813" w:rsidRDefault="00F65813">
      <w:pPr>
        <w:adjustRightInd w:val="0"/>
        <w:snapToGrid w:val="0"/>
        <w:spacing w:after="0"/>
        <w:jc w:val="center"/>
        <w:rPr>
          <w:bCs/>
          <w:kern w:val="0"/>
          <w:sz w:val="18"/>
        </w:rPr>
      </w:pPr>
    </w:p>
    <w:p w:rsidR="00F65813" w:rsidRDefault="00EB0B4C">
      <w:pPr>
        <w:pStyle w:val="a4"/>
        <w:numPr>
          <w:ilvl w:val="0"/>
          <w:numId w:val="0"/>
        </w:numPr>
        <w:spacing w:before="156" w:after="156"/>
        <w:rPr>
          <w:rFonts w:ascii="Times New Roman" w:cs="Times New Roman"/>
        </w:rPr>
      </w:pPr>
      <w:bookmarkStart w:id="231" w:name="_Toc71206595"/>
      <w:r>
        <w:rPr>
          <w:rFonts w:hAnsi="黑体"/>
        </w:rPr>
        <w:t xml:space="preserve">11.4 </w:t>
      </w:r>
      <w:r>
        <w:rPr>
          <w:rFonts w:ascii="Times New Roman" w:cs="Times New Roman" w:hint="eastAsia"/>
        </w:rPr>
        <w:t>电气线路</w:t>
      </w:r>
      <w:bookmarkEnd w:id="231"/>
    </w:p>
    <w:p w:rsidR="00F65813" w:rsidRDefault="00EB0B4C">
      <w:pPr>
        <w:pStyle w:val="a5"/>
        <w:numPr>
          <w:ilvl w:val="0"/>
          <w:numId w:val="0"/>
        </w:numPr>
        <w:spacing w:beforeLines="0" w:afterLines="0"/>
        <w:rPr>
          <w:rFonts w:ascii="Times New Roman" w:eastAsia="宋体" w:cs="Times New Roman"/>
        </w:rPr>
      </w:pPr>
      <w:r>
        <w:rPr>
          <w:rFonts w:hAnsi="黑体"/>
        </w:rPr>
        <w:t xml:space="preserve">11.4.1 </w:t>
      </w:r>
      <w:r>
        <w:rPr>
          <w:rFonts w:ascii="Times New Roman" w:eastAsia="宋体" w:cs="Times New Roman" w:hint="eastAsia"/>
        </w:rPr>
        <w:t>对电气线路出现损坏需要更换时，所使用的管、线性能指标应符合设计要求。</w:t>
      </w:r>
    </w:p>
    <w:p w:rsidR="00F65813" w:rsidRDefault="00EB0B4C">
      <w:pPr>
        <w:pStyle w:val="a5"/>
        <w:numPr>
          <w:ilvl w:val="0"/>
          <w:numId w:val="0"/>
        </w:numPr>
        <w:spacing w:beforeLines="0" w:afterLines="0"/>
        <w:rPr>
          <w:rFonts w:ascii="Times New Roman" w:eastAsia="宋体" w:cs="Times New Roman"/>
        </w:rPr>
      </w:pPr>
      <w:r>
        <w:rPr>
          <w:rFonts w:hAnsi="黑体"/>
        </w:rPr>
        <w:t xml:space="preserve">11.4.2 </w:t>
      </w:r>
      <w:r>
        <w:rPr>
          <w:rFonts w:ascii="Times New Roman" w:eastAsia="宋体" w:cs="Times New Roman" w:hint="eastAsia"/>
        </w:rPr>
        <w:t>景观照明电气线路定期检查内容及维护要求应按表</w:t>
      </w:r>
      <w:r>
        <w:rPr>
          <w:rFonts w:asciiTheme="minorEastAsia" w:eastAsiaTheme="minorEastAsia" w:hAnsiTheme="minorEastAsia" w:cs="Times New Roman"/>
        </w:rPr>
        <w:t>11</w:t>
      </w:r>
      <w:r>
        <w:rPr>
          <w:rFonts w:ascii="Times New Roman" w:eastAsia="宋体" w:cs="Times New Roman" w:hint="eastAsia"/>
        </w:rPr>
        <w:t>执行。</w:t>
      </w:r>
    </w:p>
    <w:p w:rsidR="00F65813" w:rsidRDefault="00EB0B4C">
      <w:pPr>
        <w:pStyle w:val="af4"/>
        <w:keepNext/>
        <w:widowControl w:val="0"/>
        <w:numPr>
          <w:ilvl w:val="0"/>
          <w:numId w:val="0"/>
        </w:numPr>
        <w:tabs>
          <w:tab w:val="left" w:pos="360"/>
        </w:tabs>
        <w:spacing w:before="156" w:after="156"/>
        <w:rPr>
          <w:rFonts w:ascii="Times New Roman" w:cs="Times New Roman"/>
        </w:rPr>
      </w:pPr>
      <w:r>
        <w:rPr>
          <w:rFonts w:ascii="Times New Roman" w:cs="Times New Roman" w:hint="eastAsia"/>
        </w:rPr>
        <w:lastRenderedPageBreak/>
        <w:t>表</w:t>
      </w:r>
      <w:r>
        <w:rPr>
          <w:rFonts w:ascii="Times New Roman" w:cs="Times New Roman"/>
        </w:rPr>
        <w:t xml:space="preserve">11  </w:t>
      </w:r>
      <w:r>
        <w:rPr>
          <w:rFonts w:ascii="Times New Roman" w:cs="Times New Roman" w:hint="eastAsia"/>
        </w:rPr>
        <w:t>电气线路定期检查内容及维护要求</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09"/>
        <w:gridCol w:w="4668"/>
        <w:gridCol w:w="2293"/>
      </w:tblGrid>
      <w:tr w:rsidR="00F65813">
        <w:trPr>
          <w:trHeight w:val="510"/>
          <w:jc w:val="center"/>
        </w:trPr>
        <w:tc>
          <w:tcPr>
            <w:tcW w:w="1363"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检查内容</w:t>
            </w:r>
          </w:p>
        </w:tc>
        <w:tc>
          <w:tcPr>
            <w:tcW w:w="2439"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维护要求</w:t>
            </w:r>
          </w:p>
        </w:tc>
        <w:tc>
          <w:tcPr>
            <w:tcW w:w="1198"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检查频率</w:t>
            </w:r>
          </w:p>
        </w:tc>
      </w:tr>
      <w:tr w:rsidR="00F65813">
        <w:trPr>
          <w:trHeight w:val="510"/>
          <w:jc w:val="center"/>
        </w:trPr>
        <w:tc>
          <w:tcPr>
            <w:tcW w:w="1363"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电缆井</w:t>
            </w:r>
          </w:p>
        </w:tc>
        <w:tc>
          <w:tcPr>
            <w:tcW w:w="2439"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无积水、破损</w:t>
            </w:r>
          </w:p>
        </w:tc>
        <w:tc>
          <w:tcPr>
            <w:tcW w:w="1198" w:type="pct"/>
            <w:vMerge w:val="restar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每半年</w:t>
            </w:r>
          </w:p>
        </w:tc>
      </w:tr>
      <w:tr w:rsidR="00F65813">
        <w:trPr>
          <w:trHeight w:val="510"/>
          <w:jc w:val="center"/>
        </w:trPr>
        <w:tc>
          <w:tcPr>
            <w:tcW w:w="1363"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电缆管（含钢管或线槽）</w:t>
            </w:r>
          </w:p>
        </w:tc>
        <w:tc>
          <w:tcPr>
            <w:tcW w:w="2439"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固定牢固可靠，无锈蚀、移位、破损</w:t>
            </w:r>
          </w:p>
        </w:tc>
        <w:tc>
          <w:tcPr>
            <w:tcW w:w="1198" w:type="pct"/>
            <w:vMerge/>
            <w:shd w:val="clear" w:color="auto" w:fill="auto"/>
            <w:vAlign w:val="center"/>
          </w:tcPr>
          <w:p w:rsidR="00F65813" w:rsidRDefault="00F65813">
            <w:pPr>
              <w:keepNext/>
              <w:adjustRightInd w:val="0"/>
              <w:snapToGrid w:val="0"/>
              <w:spacing w:after="0"/>
              <w:jc w:val="center"/>
              <w:rPr>
                <w:bCs/>
                <w:kern w:val="0"/>
                <w:sz w:val="18"/>
              </w:rPr>
            </w:pPr>
          </w:p>
        </w:tc>
      </w:tr>
      <w:tr w:rsidR="00F65813">
        <w:trPr>
          <w:trHeight w:val="510"/>
          <w:jc w:val="center"/>
        </w:trPr>
        <w:tc>
          <w:tcPr>
            <w:tcW w:w="1363"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电缆穿墙管</w:t>
            </w:r>
          </w:p>
        </w:tc>
        <w:tc>
          <w:tcPr>
            <w:tcW w:w="2439"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封堵密封、完好</w:t>
            </w:r>
          </w:p>
        </w:tc>
        <w:tc>
          <w:tcPr>
            <w:tcW w:w="1198" w:type="pct"/>
            <w:vMerge/>
            <w:shd w:val="clear" w:color="auto" w:fill="auto"/>
            <w:vAlign w:val="center"/>
          </w:tcPr>
          <w:p w:rsidR="00F65813" w:rsidRDefault="00F65813">
            <w:pPr>
              <w:keepNext/>
              <w:adjustRightInd w:val="0"/>
              <w:snapToGrid w:val="0"/>
              <w:spacing w:after="0"/>
              <w:jc w:val="center"/>
              <w:rPr>
                <w:bCs/>
                <w:kern w:val="0"/>
                <w:sz w:val="18"/>
              </w:rPr>
            </w:pPr>
          </w:p>
        </w:tc>
      </w:tr>
      <w:tr w:rsidR="00F65813">
        <w:trPr>
          <w:trHeight w:val="510"/>
          <w:jc w:val="center"/>
        </w:trPr>
        <w:tc>
          <w:tcPr>
            <w:tcW w:w="1363"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电缆支架</w:t>
            </w:r>
          </w:p>
        </w:tc>
        <w:tc>
          <w:tcPr>
            <w:tcW w:w="2439"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完整、牢固、可靠，无锈蚀，接地良好</w:t>
            </w:r>
          </w:p>
        </w:tc>
        <w:tc>
          <w:tcPr>
            <w:tcW w:w="1198" w:type="pct"/>
            <w:vMerge/>
            <w:shd w:val="clear" w:color="auto" w:fill="auto"/>
            <w:vAlign w:val="center"/>
          </w:tcPr>
          <w:p w:rsidR="00F65813" w:rsidRDefault="00F65813">
            <w:pPr>
              <w:keepNext/>
              <w:adjustRightInd w:val="0"/>
              <w:snapToGrid w:val="0"/>
              <w:spacing w:after="0"/>
              <w:jc w:val="center"/>
              <w:rPr>
                <w:bCs/>
                <w:kern w:val="0"/>
                <w:sz w:val="18"/>
              </w:rPr>
            </w:pPr>
          </w:p>
        </w:tc>
      </w:tr>
      <w:tr w:rsidR="00F65813">
        <w:trPr>
          <w:trHeight w:val="510"/>
          <w:jc w:val="center"/>
        </w:trPr>
        <w:tc>
          <w:tcPr>
            <w:tcW w:w="1363"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电缆</w:t>
            </w:r>
          </w:p>
        </w:tc>
        <w:tc>
          <w:tcPr>
            <w:tcW w:w="2439"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完整，无损伤</w:t>
            </w:r>
          </w:p>
        </w:tc>
        <w:tc>
          <w:tcPr>
            <w:tcW w:w="1198" w:type="pct"/>
            <w:vMerge/>
            <w:shd w:val="clear" w:color="auto" w:fill="auto"/>
            <w:vAlign w:val="center"/>
          </w:tcPr>
          <w:p w:rsidR="00F65813" w:rsidRDefault="00F65813">
            <w:pPr>
              <w:keepNext/>
              <w:adjustRightInd w:val="0"/>
              <w:snapToGrid w:val="0"/>
              <w:spacing w:after="0"/>
              <w:jc w:val="center"/>
              <w:rPr>
                <w:bCs/>
                <w:kern w:val="0"/>
                <w:sz w:val="18"/>
              </w:rPr>
            </w:pPr>
          </w:p>
        </w:tc>
      </w:tr>
      <w:tr w:rsidR="00F65813">
        <w:trPr>
          <w:trHeight w:val="510"/>
          <w:jc w:val="center"/>
        </w:trPr>
        <w:tc>
          <w:tcPr>
            <w:tcW w:w="1363"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可弯曲金属软管</w:t>
            </w:r>
          </w:p>
        </w:tc>
        <w:tc>
          <w:tcPr>
            <w:tcW w:w="2439" w:type="pct"/>
            <w:shd w:val="clear" w:color="auto" w:fill="auto"/>
            <w:vAlign w:val="center"/>
          </w:tcPr>
          <w:p w:rsidR="00F65813" w:rsidRDefault="00EB0B4C">
            <w:pPr>
              <w:keepNext/>
              <w:adjustRightInd w:val="0"/>
              <w:snapToGrid w:val="0"/>
              <w:spacing w:after="0"/>
              <w:jc w:val="center"/>
              <w:rPr>
                <w:bCs/>
                <w:kern w:val="0"/>
                <w:sz w:val="18"/>
              </w:rPr>
            </w:pPr>
            <w:r>
              <w:rPr>
                <w:rFonts w:hint="eastAsia"/>
                <w:bCs/>
                <w:kern w:val="0"/>
                <w:sz w:val="18"/>
              </w:rPr>
              <w:t>无破损、松动</w:t>
            </w:r>
          </w:p>
        </w:tc>
        <w:tc>
          <w:tcPr>
            <w:tcW w:w="1198" w:type="pct"/>
            <w:vMerge/>
            <w:shd w:val="clear" w:color="auto" w:fill="auto"/>
            <w:vAlign w:val="center"/>
          </w:tcPr>
          <w:p w:rsidR="00F65813" w:rsidRDefault="00F65813">
            <w:pPr>
              <w:keepNext/>
              <w:adjustRightInd w:val="0"/>
              <w:snapToGrid w:val="0"/>
              <w:spacing w:after="0"/>
              <w:jc w:val="center"/>
              <w:rPr>
                <w:bCs/>
                <w:kern w:val="0"/>
                <w:sz w:val="18"/>
              </w:rPr>
            </w:pPr>
          </w:p>
        </w:tc>
      </w:tr>
    </w:tbl>
    <w:p w:rsidR="00F65813" w:rsidRDefault="00F65813">
      <w:bookmarkStart w:id="232" w:name="_Toc71206596"/>
    </w:p>
    <w:p w:rsidR="00F65813" w:rsidRDefault="00EB0B4C">
      <w:pPr>
        <w:pStyle w:val="a4"/>
        <w:numPr>
          <w:ilvl w:val="0"/>
          <w:numId w:val="0"/>
        </w:numPr>
        <w:spacing w:before="156" w:after="156"/>
        <w:rPr>
          <w:rFonts w:ascii="Times New Roman" w:cs="Times New Roman"/>
        </w:rPr>
      </w:pPr>
      <w:r>
        <w:rPr>
          <w:rFonts w:hAnsi="黑体"/>
        </w:rPr>
        <w:t xml:space="preserve">11.5 </w:t>
      </w:r>
      <w:r>
        <w:rPr>
          <w:rFonts w:ascii="Times New Roman" w:cs="Times New Roman" w:hint="eastAsia"/>
        </w:rPr>
        <w:t>防雷与接地系统</w:t>
      </w:r>
      <w:bookmarkEnd w:id="232"/>
    </w:p>
    <w:p w:rsidR="00F65813" w:rsidRPr="00F65813" w:rsidRDefault="00EB0B4C">
      <w:pPr>
        <w:pStyle w:val="a5"/>
        <w:widowControl w:val="0"/>
        <w:numPr>
          <w:ilvl w:val="0"/>
          <w:numId w:val="0"/>
        </w:numPr>
        <w:adjustRightInd w:val="0"/>
        <w:snapToGrid w:val="0"/>
        <w:spacing w:beforeLines="0" w:afterLines="0"/>
        <w:rPr>
          <w:rFonts w:asciiTheme="minorEastAsia" w:eastAsiaTheme="minorEastAsia" w:hAnsiTheme="minorEastAsia" w:cs="Times New Roman"/>
          <w:color w:val="000000" w:themeColor="text1"/>
        </w:rPr>
      </w:pPr>
      <w:bookmarkStart w:id="233" w:name="_Toc47559850"/>
      <w:bookmarkStart w:id="234" w:name="_Toc47558709"/>
      <w:bookmarkStart w:id="235" w:name="_Toc46216181"/>
      <w:r>
        <w:rPr>
          <w:rFonts w:hAnsi="黑体"/>
        </w:rPr>
        <w:t xml:space="preserve">11.5.1 </w:t>
      </w:r>
      <w:r>
        <w:rPr>
          <w:rFonts w:asciiTheme="minorEastAsia" w:eastAsiaTheme="minorEastAsia" w:hAnsiTheme="minorEastAsia" w:hint="eastAsia"/>
        </w:rPr>
        <w:t>防雷装置应每年定期检测一次，防雷与接地系统应每半年定期检</w:t>
      </w:r>
      <w:r w:rsidR="00F65813" w:rsidRPr="00F65813">
        <w:rPr>
          <w:rFonts w:asciiTheme="minorEastAsia" w:eastAsiaTheme="minorEastAsia" w:hAnsiTheme="minorEastAsia" w:hint="eastAsia"/>
          <w:color w:val="000000" w:themeColor="text1"/>
        </w:rPr>
        <w:t>查一次，</w:t>
      </w:r>
      <w:bookmarkStart w:id="236" w:name="_Hlk88682776"/>
      <w:r w:rsidR="00F65813" w:rsidRPr="00F65813">
        <w:rPr>
          <w:rFonts w:asciiTheme="minorEastAsia" w:eastAsiaTheme="minorEastAsia" w:hAnsiTheme="minorEastAsia" w:hint="eastAsia"/>
          <w:color w:val="000000" w:themeColor="text1"/>
        </w:rPr>
        <w:t>在</w:t>
      </w:r>
      <w:r w:rsidR="00F65813" w:rsidRPr="00F65813">
        <w:rPr>
          <w:rFonts w:ascii="宋体" w:eastAsia="宋体" w:hAnsi="宋体" w:cs="Times New Roman" w:hint="eastAsia"/>
          <w:color w:val="FF0000"/>
        </w:rPr>
        <w:t>重大节日或重大活动</w:t>
      </w:r>
      <w:r w:rsidR="00F65813" w:rsidRPr="00F65813">
        <w:rPr>
          <w:rFonts w:asciiTheme="minorEastAsia" w:eastAsiaTheme="minorEastAsia" w:hAnsiTheme="minorEastAsia" w:hint="eastAsia"/>
          <w:color w:val="000000" w:themeColor="text1"/>
        </w:rPr>
        <w:t>前</w:t>
      </w:r>
      <w:r w:rsidR="00F65813" w:rsidRPr="00F65813">
        <w:rPr>
          <w:rFonts w:asciiTheme="minorEastAsia" w:eastAsiaTheme="minorEastAsia" w:hAnsiTheme="minorEastAsia" w:hint="eastAsia"/>
          <w:color w:val="FF0000"/>
        </w:rPr>
        <w:t>应</w:t>
      </w:r>
      <w:r w:rsidR="00F65813" w:rsidRPr="00F65813">
        <w:rPr>
          <w:rFonts w:asciiTheme="minorEastAsia" w:eastAsiaTheme="minorEastAsia" w:hAnsiTheme="minorEastAsia" w:hint="eastAsia"/>
          <w:color w:val="000000" w:themeColor="text1"/>
        </w:rPr>
        <w:t>进行全面检查</w:t>
      </w:r>
      <w:bookmarkEnd w:id="236"/>
      <w:r w:rsidR="00F65813" w:rsidRPr="00F65813">
        <w:rPr>
          <w:rFonts w:asciiTheme="minorEastAsia" w:eastAsiaTheme="minorEastAsia" w:hAnsiTheme="minorEastAsia" w:cs="Times New Roman" w:hint="eastAsia"/>
          <w:color w:val="000000" w:themeColor="text1"/>
        </w:rPr>
        <w:t>。</w:t>
      </w:r>
      <w:bookmarkEnd w:id="233"/>
      <w:bookmarkEnd w:id="234"/>
      <w:bookmarkEnd w:id="235"/>
    </w:p>
    <w:p w:rsidR="00F65813" w:rsidRPr="00F65813" w:rsidRDefault="00F65813">
      <w:pPr>
        <w:pStyle w:val="a5"/>
        <w:widowControl w:val="0"/>
        <w:numPr>
          <w:ilvl w:val="0"/>
          <w:numId w:val="0"/>
        </w:numPr>
        <w:adjustRightInd w:val="0"/>
        <w:snapToGrid w:val="0"/>
        <w:spacing w:beforeLines="0" w:afterLines="0"/>
        <w:rPr>
          <w:rFonts w:asciiTheme="minorEastAsia" w:eastAsiaTheme="minorEastAsia" w:hAnsiTheme="minorEastAsia" w:cs="Times New Roman"/>
          <w:color w:val="000000" w:themeColor="text1"/>
        </w:rPr>
      </w:pPr>
      <w:r w:rsidRPr="00F65813">
        <w:rPr>
          <w:rFonts w:hAnsi="黑体"/>
          <w:color w:val="000000" w:themeColor="text1"/>
        </w:rPr>
        <w:t xml:space="preserve">11.5.2 </w:t>
      </w:r>
      <w:r w:rsidRPr="00F65813">
        <w:rPr>
          <w:rFonts w:asciiTheme="minorEastAsia" w:eastAsiaTheme="minorEastAsia" w:hAnsiTheme="minorEastAsia" w:cs="Times New Roman" w:hint="eastAsia"/>
          <w:color w:val="000000" w:themeColor="text1"/>
        </w:rPr>
        <w:t>检测方法按</w:t>
      </w:r>
      <w:r w:rsidRPr="00F65813">
        <w:rPr>
          <w:rFonts w:asciiTheme="minorEastAsia" w:eastAsiaTheme="minorEastAsia" w:hAnsiTheme="minorEastAsia" w:cs="Times New Roman"/>
          <w:color w:val="000000" w:themeColor="text1"/>
        </w:rPr>
        <w:t>GB/T40250规定执行，检测机构应具备符合中国气象局令第38号规定的雷电防护装置检测资质。</w:t>
      </w:r>
    </w:p>
    <w:p w:rsidR="00F65813" w:rsidRPr="00F65813" w:rsidRDefault="00F65813">
      <w:pPr>
        <w:pStyle w:val="a5"/>
        <w:widowControl w:val="0"/>
        <w:numPr>
          <w:ilvl w:val="0"/>
          <w:numId w:val="0"/>
        </w:numPr>
        <w:adjustRightInd w:val="0"/>
        <w:snapToGrid w:val="0"/>
        <w:spacing w:beforeLines="0" w:afterLines="0"/>
        <w:rPr>
          <w:rFonts w:asciiTheme="minorEastAsia" w:eastAsiaTheme="minorEastAsia" w:hAnsiTheme="minorEastAsia" w:cs="Times New Roman"/>
          <w:color w:val="000000" w:themeColor="text1"/>
        </w:rPr>
      </w:pPr>
      <w:r w:rsidRPr="00F65813">
        <w:rPr>
          <w:rFonts w:hAnsi="黑体"/>
          <w:color w:val="000000" w:themeColor="text1"/>
        </w:rPr>
        <w:t xml:space="preserve">11.5.3 </w:t>
      </w:r>
      <w:r w:rsidRPr="00F65813">
        <w:rPr>
          <w:rFonts w:asciiTheme="minorEastAsia" w:eastAsiaTheme="minorEastAsia" w:hAnsiTheme="minorEastAsia" w:cs="Times New Roman" w:hint="eastAsia"/>
          <w:color w:val="000000" w:themeColor="text1"/>
        </w:rPr>
        <w:t>检测、检查内容及维护要求应按表</w:t>
      </w:r>
      <w:r w:rsidRPr="00F65813">
        <w:rPr>
          <w:rFonts w:asciiTheme="minorEastAsia" w:eastAsiaTheme="minorEastAsia" w:hAnsiTheme="minorEastAsia" w:cs="Times New Roman"/>
          <w:color w:val="000000" w:themeColor="text1"/>
        </w:rPr>
        <w:t>12执行。</w:t>
      </w:r>
    </w:p>
    <w:p w:rsidR="00F65813" w:rsidRPr="00F65813" w:rsidRDefault="00F65813">
      <w:pPr>
        <w:pStyle w:val="af4"/>
        <w:keepNext/>
        <w:widowControl w:val="0"/>
        <w:numPr>
          <w:ilvl w:val="0"/>
          <w:numId w:val="0"/>
        </w:numPr>
        <w:tabs>
          <w:tab w:val="left" w:pos="360"/>
        </w:tabs>
        <w:spacing w:before="156" w:after="156"/>
        <w:rPr>
          <w:rFonts w:ascii="Times New Roman" w:cs="Times New Roman"/>
          <w:color w:val="000000" w:themeColor="text1"/>
        </w:rPr>
      </w:pPr>
      <w:r w:rsidRPr="00F65813">
        <w:rPr>
          <w:rFonts w:ascii="Times New Roman" w:cs="Times New Roman" w:hint="eastAsia"/>
          <w:color w:val="000000" w:themeColor="text1"/>
        </w:rPr>
        <w:t>表</w:t>
      </w:r>
      <w:r w:rsidRPr="00F65813">
        <w:rPr>
          <w:rFonts w:ascii="Times New Roman" w:cs="Times New Roman"/>
          <w:color w:val="000000" w:themeColor="text1"/>
        </w:rPr>
        <w:t xml:space="preserve">12  </w:t>
      </w:r>
      <w:r w:rsidRPr="00F65813">
        <w:rPr>
          <w:rFonts w:ascii="Times New Roman" w:cs="Times New Roman" w:hint="eastAsia"/>
          <w:color w:val="000000" w:themeColor="text1"/>
        </w:rPr>
        <w:t>防雷与接地检测、检查内容及维护要求</w:t>
      </w:r>
    </w:p>
    <w:tbl>
      <w:tblPr>
        <w:tblW w:w="435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431"/>
        <w:gridCol w:w="2875"/>
        <w:gridCol w:w="2028"/>
      </w:tblGrid>
      <w:tr w:rsidR="00F65813">
        <w:trPr>
          <w:trHeight w:val="567"/>
          <w:jc w:val="center"/>
        </w:trPr>
        <w:tc>
          <w:tcPr>
            <w:tcW w:w="2058" w:type="pc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内容</w:t>
            </w:r>
          </w:p>
        </w:tc>
        <w:tc>
          <w:tcPr>
            <w:tcW w:w="1725" w:type="pc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维护要求</w:t>
            </w:r>
          </w:p>
        </w:tc>
        <w:tc>
          <w:tcPr>
            <w:tcW w:w="1217" w:type="pc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频率</w:t>
            </w:r>
          </w:p>
        </w:tc>
      </w:tr>
      <w:tr w:rsidR="00F65813">
        <w:trPr>
          <w:trHeight w:val="567"/>
          <w:jc w:val="center"/>
        </w:trPr>
        <w:tc>
          <w:tcPr>
            <w:tcW w:w="2058" w:type="pc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防雷装置检测</w:t>
            </w:r>
          </w:p>
        </w:tc>
        <w:tc>
          <w:tcPr>
            <w:tcW w:w="1725" w:type="pc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满足</w:t>
            </w:r>
            <w:r w:rsidRPr="00F65813">
              <w:rPr>
                <w:rFonts w:asciiTheme="minorEastAsia" w:eastAsiaTheme="minorEastAsia" w:hAnsiTheme="minorEastAsia"/>
                <w:color w:val="000000" w:themeColor="text1"/>
              </w:rPr>
              <w:t>GB/T 40250规定</w:t>
            </w:r>
          </w:p>
        </w:tc>
        <w:tc>
          <w:tcPr>
            <w:tcW w:w="1217" w:type="pc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每年</w:t>
            </w:r>
          </w:p>
        </w:tc>
      </w:tr>
      <w:tr w:rsidR="00F65813">
        <w:trPr>
          <w:trHeight w:val="567"/>
          <w:jc w:val="center"/>
        </w:trPr>
        <w:tc>
          <w:tcPr>
            <w:tcW w:w="2058" w:type="pc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灯具、箱盘金属外壳、金属构件等与接地装置的接地连接检查</w:t>
            </w:r>
          </w:p>
        </w:tc>
        <w:tc>
          <w:tcPr>
            <w:tcW w:w="1725" w:type="pc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无松动、脱落、腐蚀</w:t>
            </w:r>
          </w:p>
        </w:tc>
        <w:tc>
          <w:tcPr>
            <w:tcW w:w="1217" w:type="pct"/>
            <w:vMerge w:val="restar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每半年</w:t>
            </w:r>
            <w:r w:rsidRPr="00F65813">
              <w:rPr>
                <w:rFonts w:hint="eastAsia"/>
                <w:bCs/>
                <w:color w:val="FF0000"/>
                <w:kern w:val="0"/>
                <w:sz w:val="18"/>
              </w:rPr>
              <w:t>，</w:t>
            </w:r>
            <w:r w:rsidRPr="00F65813">
              <w:rPr>
                <w:rFonts w:ascii="宋体" w:hAnsi="宋体" w:hint="eastAsia"/>
                <w:color w:val="FF0000"/>
                <w:sz w:val="18"/>
                <w:szCs w:val="18"/>
              </w:rPr>
              <w:t>重大节日或重大活动</w:t>
            </w:r>
            <w:r w:rsidRPr="00F65813">
              <w:rPr>
                <w:rFonts w:hint="eastAsia"/>
                <w:bCs/>
                <w:color w:val="000000" w:themeColor="text1"/>
                <w:kern w:val="0"/>
                <w:sz w:val="18"/>
              </w:rPr>
              <w:t>前</w:t>
            </w:r>
          </w:p>
        </w:tc>
      </w:tr>
      <w:tr w:rsidR="00F65813">
        <w:trPr>
          <w:trHeight w:val="567"/>
          <w:jc w:val="center"/>
        </w:trPr>
        <w:tc>
          <w:tcPr>
            <w:tcW w:w="2058" w:type="pc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接闪器、引下线、等电位连接构件检查</w:t>
            </w:r>
          </w:p>
        </w:tc>
        <w:tc>
          <w:tcPr>
            <w:tcW w:w="1725" w:type="pc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无损伤、断裂、腐蚀、脱落</w:t>
            </w:r>
          </w:p>
        </w:tc>
        <w:tc>
          <w:tcPr>
            <w:tcW w:w="1217" w:type="pct"/>
            <w:vMerge/>
            <w:shd w:val="clear" w:color="auto" w:fill="auto"/>
            <w:vAlign w:val="center"/>
          </w:tcPr>
          <w:p w:rsidR="00F65813" w:rsidRPr="00F65813" w:rsidRDefault="00F65813">
            <w:pPr>
              <w:keepNext/>
              <w:keepLines/>
              <w:adjustRightInd w:val="0"/>
              <w:snapToGrid w:val="0"/>
              <w:spacing w:before="340" w:after="0"/>
              <w:jc w:val="center"/>
              <w:outlineLvl w:val="0"/>
              <w:rPr>
                <w:bCs/>
                <w:color w:val="000000" w:themeColor="text1"/>
                <w:kern w:val="0"/>
                <w:sz w:val="18"/>
              </w:rPr>
            </w:pPr>
          </w:p>
        </w:tc>
      </w:tr>
      <w:tr w:rsidR="00F65813">
        <w:trPr>
          <w:trHeight w:val="567"/>
          <w:jc w:val="center"/>
        </w:trPr>
        <w:tc>
          <w:tcPr>
            <w:tcW w:w="2058" w:type="pc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电涌保护器检查</w:t>
            </w:r>
          </w:p>
        </w:tc>
        <w:tc>
          <w:tcPr>
            <w:tcW w:w="1725" w:type="pct"/>
            <w:shd w:val="clear" w:color="auto" w:fill="auto"/>
            <w:vAlign w:val="center"/>
          </w:tcPr>
          <w:p w:rsidR="00F65813" w:rsidRPr="00F65813" w:rsidRDefault="00F65813">
            <w:pPr>
              <w:keepNext/>
              <w:adjustRightInd w:val="0"/>
              <w:snapToGrid w:val="0"/>
              <w:spacing w:after="0"/>
              <w:jc w:val="center"/>
              <w:rPr>
                <w:bCs/>
                <w:color w:val="000000" w:themeColor="text1"/>
                <w:kern w:val="0"/>
                <w:sz w:val="18"/>
              </w:rPr>
            </w:pPr>
            <w:r w:rsidRPr="00F65813">
              <w:rPr>
                <w:rFonts w:hint="eastAsia"/>
                <w:bCs/>
                <w:color w:val="000000" w:themeColor="text1"/>
                <w:kern w:val="0"/>
                <w:sz w:val="18"/>
              </w:rPr>
              <w:t>状态指示器正常、绝缘良好、无接触不良、无发热、无积尘过多</w:t>
            </w:r>
          </w:p>
        </w:tc>
        <w:tc>
          <w:tcPr>
            <w:tcW w:w="1217" w:type="pct"/>
            <w:vMerge/>
            <w:shd w:val="clear" w:color="auto" w:fill="auto"/>
            <w:vAlign w:val="center"/>
          </w:tcPr>
          <w:p w:rsidR="00F65813" w:rsidRPr="00F65813" w:rsidRDefault="00F65813">
            <w:pPr>
              <w:keepNext/>
              <w:keepLines/>
              <w:adjustRightInd w:val="0"/>
              <w:snapToGrid w:val="0"/>
              <w:spacing w:before="340" w:after="0"/>
              <w:jc w:val="center"/>
              <w:outlineLvl w:val="0"/>
              <w:rPr>
                <w:bCs/>
                <w:color w:val="000000" w:themeColor="text1"/>
                <w:kern w:val="0"/>
                <w:sz w:val="18"/>
              </w:rPr>
            </w:pPr>
          </w:p>
        </w:tc>
      </w:tr>
    </w:tbl>
    <w:p w:rsidR="00F65813" w:rsidRPr="00F65813" w:rsidRDefault="00F65813">
      <w:pPr>
        <w:adjustRightInd w:val="0"/>
        <w:snapToGrid w:val="0"/>
        <w:spacing w:after="0"/>
        <w:rPr>
          <w:rFonts w:asciiTheme="minorEastAsia" w:eastAsiaTheme="minorEastAsia" w:hAnsiTheme="minorEastAsia"/>
          <w:bCs/>
          <w:color w:val="000000" w:themeColor="text1"/>
          <w:kern w:val="0"/>
        </w:rPr>
      </w:pPr>
    </w:p>
    <w:p w:rsidR="00F65813" w:rsidRPr="00F65813" w:rsidRDefault="00F65813">
      <w:pPr>
        <w:pStyle w:val="a4"/>
        <w:numPr>
          <w:ilvl w:val="0"/>
          <w:numId w:val="0"/>
        </w:numPr>
        <w:spacing w:before="156" w:after="156"/>
        <w:rPr>
          <w:color w:val="000000" w:themeColor="text1"/>
        </w:rPr>
      </w:pPr>
      <w:r w:rsidRPr="00F65813">
        <w:rPr>
          <w:rFonts w:hAnsi="黑体"/>
          <w:color w:val="000000" w:themeColor="text1"/>
        </w:rPr>
        <w:t xml:space="preserve">11.6 </w:t>
      </w:r>
      <w:r w:rsidRPr="00F65813">
        <w:rPr>
          <w:rFonts w:hint="eastAsia"/>
          <w:color w:val="000000" w:themeColor="text1"/>
        </w:rPr>
        <w:t>集中控制系统</w:t>
      </w:r>
    </w:p>
    <w:p w:rsidR="00F65813" w:rsidRDefault="00EB0B4C">
      <w:pPr>
        <w:pStyle w:val="a5"/>
        <w:numPr>
          <w:ilvl w:val="0"/>
          <w:numId w:val="0"/>
        </w:numPr>
        <w:spacing w:beforeLines="0" w:afterLines="0"/>
        <w:ind w:firstLineChars="200" w:firstLine="420"/>
        <w:outlineLvl w:val="9"/>
        <w:rPr>
          <w:rFonts w:asciiTheme="minorEastAsia" w:eastAsiaTheme="minorEastAsia" w:hAnsiTheme="minorEastAsia" w:cs="Times New Roman"/>
          <w:color w:val="333333"/>
          <w:shd w:val="clear" w:color="auto" w:fill="FFFFFF"/>
        </w:rPr>
      </w:pPr>
      <w:r>
        <w:rPr>
          <w:rFonts w:asciiTheme="minorEastAsia" w:eastAsiaTheme="minorEastAsia" w:hAnsiTheme="minorEastAsia" w:cs="Times New Roman" w:hint="eastAsia"/>
          <w:color w:val="333333"/>
          <w:shd w:val="clear" w:color="auto" w:fill="FFFFFF"/>
        </w:rPr>
        <w:t>应定期检查集中控制系统中心设施、控制终端、监控终端等设施工作状况，及时发现并消除隐患，确保其安全、可靠运行。集中控制系统定期检查内容及维护要求应按表</w:t>
      </w:r>
      <w:r>
        <w:rPr>
          <w:rFonts w:asciiTheme="minorEastAsia" w:eastAsiaTheme="minorEastAsia" w:hAnsiTheme="minorEastAsia" w:cs="Times New Roman"/>
          <w:color w:val="333333"/>
          <w:shd w:val="clear" w:color="auto" w:fill="FFFFFF"/>
        </w:rPr>
        <w:t>13</w:t>
      </w:r>
      <w:r>
        <w:rPr>
          <w:rFonts w:asciiTheme="minorEastAsia" w:eastAsiaTheme="minorEastAsia" w:hAnsiTheme="minorEastAsia" w:cs="Times New Roman" w:hint="eastAsia"/>
          <w:color w:val="333333"/>
          <w:shd w:val="clear" w:color="auto" w:fill="FFFFFF"/>
        </w:rPr>
        <w:t>执行。</w:t>
      </w:r>
    </w:p>
    <w:p w:rsidR="00F65813" w:rsidRDefault="00EB0B4C">
      <w:pPr>
        <w:pStyle w:val="af4"/>
        <w:keepNext/>
        <w:widowControl w:val="0"/>
        <w:numPr>
          <w:ilvl w:val="0"/>
          <w:numId w:val="0"/>
        </w:numPr>
        <w:tabs>
          <w:tab w:val="left" w:pos="360"/>
        </w:tabs>
        <w:spacing w:before="156" w:after="156"/>
        <w:rPr>
          <w:rFonts w:ascii="Times New Roman" w:cs="Times New Roman"/>
        </w:rPr>
      </w:pPr>
      <w:r>
        <w:rPr>
          <w:rFonts w:ascii="Times New Roman" w:cs="Times New Roman" w:hint="eastAsia"/>
        </w:rPr>
        <w:lastRenderedPageBreak/>
        <w:t>表</w:t>
      </w:r>
      <w:r>
        <w:rPr>
          <w:rFonts w:ascii="Times New Roman" w:cs="Times New Roman"/>
        </w:rPr>
        <w:t xml:space="preserve">13  </w:t>
      </w:r>
      <w:r>
        <w:rPr>
          <w:rFonts w:ascii="Times New Roman" w:cs="Times New Roman" w:hint="eastAsia"/>
        </w:rPr>
        <w:t>集中控制系统的定期检查内容及维护要求</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431"/>
        <w:gridCol w:w="4829"/>
        <w:gridCol w:w="2310"/>
      </w:tblGrid>
      <w:tr w:rsidR="00F65813">
        <w:trPr>
          <w:trHeight w:val="567"/>
          <w:jc w:val="center"/>
        </w:trPr>
        <w:tc>
          <w:tcPr>
            <w:tcW w:w="1270" w:type="pc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检查内容</w:t>
            </w:r>
          </w:p>
        </w:tc>
        <w:tc>
          <w:tcPr>
            <w:tcW w:w="2523" w:type="pc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维护要求</w:t>
            </w:r>
          </w:p>
        </w:tc>
        <w:tc>
          <w:tcPr>
            <w:tcW w:w="1207" w:type="pc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检查频率</w:t>
            </w:r>
          </w:p>
        </w:tc>
      </w:tr>
      <w:tr w:rsidR="00F65813">
        <w:trPr>
          <w:trHeight w:val="567"/>
          <w:jc w:val="center"/>
        </w:trPr>
        <w:tc>
          <w:tcPr>
            <w:tcW w:w="1270" w:type="pc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控制中心服务器、存储控制器、网络等设备</w:t>
            </w:r>
          </w:p>
        </w:tc>
        <w:tc>
          <w:tcPr>
            <w:tcW w:w="2523" w:type="pc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无故障、告警</w:t>
            </w:r>
          </w:p>
        </w:tc>
        <w:tc>
          <w:tcPr>
            <w:tcW w:w="1207" w:type="pct"/>
            <w:vMerge w:val="restar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每月</w:t>
            </w:r>
          </w:p>
        </w:tc>
      </w:tr>
      <w:tr w:rsidR="00F65813">
        <w:trPr>
          <w:trHeight w:val="567"/>
          <w:jc w:val="center"/>
        </w:trPr>
        <w:tc>
          <w:tcPr>
            <w:tcW w:w="1270" w:type="pct"/>
            <w:vMerge w:val="restar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控制软件、操作系统、数据库及中间件等</w:t>
            </w:r>
          </w:p>
        </w:tc>
        <w:tc>
          <w:tcPr>
            <w:tcW w:w="2523" w:type="pc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无卡顿，报错、响应及时</w:t>
            </w:r>
          </w:p>
        </w:tc>
        <w:tc>
          <w:tcPr>
            <w:tcW w:w="1207" w:type="pct"/>
            <w:vMerge/>
            <w:shd w:val="clear" w:color="auto" w:fill="auto"/>
            <w:vAlign w:val="center"/>
          </w:tcPr>
          <w:p w:rsidR="00F65813" w:rsidRDefault="00F65813">
            <w:pPr>
              <w:keepNext/>
              <w:adjustRightInd w:val="0"/>
              <w:snapToGrid w:val="0"/>
              <w:spacing w:after="0"/>
              <w:jc w:val="center"/>
              <w:rPr>
                <w:rFonts w:asciiTheme="minorEastAsia" w:eastAsiaTheme="minorEastAsia" w:hAnsiTheme="minorEastAsia"/>
                <w:bCs/>
                <w:kern w:val="0"/>
                <w:sz w:val="18"/>
              </w:rPr>
            </w:pPr>
          </w:p>
        </w:tc>
      </w:tr>
      <w:tr w:rsidR="00F65813">
        <w:trPr>
          <w:trHeight w:val="567"/>
          <w:jc w:val="center"/>
        </w:trPr>
        <w:tc>
          <w:tcPr>
            <w:tcW w:w="1270" w:type="pct"/>
            <w:vMerge/>
            <w:shd w:val="clear" w:color="auto" w:fill="auto"/>
            <w:vAlign w:val="center"/>
          </w:tcPr>
          <w:p w:rsidR="00F65813" w:rsidRDefault="00F65813">
            <w:pPr>
              <w:keepNext/>
              <w:adjustRightInd w:val="0"/>
              <w:snapToGrid w:val="0"/>
              <w:spacing w:after="0"/>
              <w:jc w:val="center"/>
              <w:rPr>
                <w:rFonts w:asciiTheme="minorEastAsia" w:eastAsiaTheme="minorEastAsia" w:hAnsiTheme="minorEastAsia"/>
                <w:bCs/>
                <w:kern w:val="0"/>
                <w:sz w:val="18"/>
              </w:rPr>
            </w:pPr>
          </w:p>
        </w:tc>
        <w:tc>
          <w:tcPr>
            <w:tcW w:w="2523" w:type="pc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网络安全，无病毒入侵</w:t>
            </w:r>
          </w:p>
        </w:tc>
        <w:tc>
          <w:tcPr>
            <w:tcW w:w="1207" w:type="pct"/>
            <w:vMerge/>
            <w:shd w:val="clear" w:color="auto" w:fill="auto"/>
            <w:vAlign w:val="center"/>
          </w:tcPr>
          <w:p w:rsidR="00F65813" w:rsidRDefault="00F65813">
            <w:pPr>
              <w:keepNext/>
              <w:adjustRightInd w:val="0"/>
              <w:snapToGrid w:val="0"/>
              <w:spacing w:after="0"/>
              <w:jc w:val="center"/>
              <w:rPr>
                <w:rFonts w:asciiTheme="minorEastAsia" w:eastAsiaTheme="minorEastAsia" w:hAnsiTheme="minorEastAsia"/>
                <w:bCs/>
                <w:kern w:val="0"/>
                <w:sz w:val="18"/>
              </w:rPr>
            </w:pPr>
          </w:p>
        </w:tc>
      </w:tr>
      <w:tr w:rsidR="00F65813">
        <w:trPr>
          <w:trHeight w:val="567"/>
          <w:jc w:val="center"/>
        </w:trPr>
        <w:tc>
          <w:tcPr>
            <w:tcW w:w="1270" w:type="pct"/>
            <w:vMerge w:val="restar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控制终端</w:t>
            </w:r>
            <w:r>
              <w:rPr>
                <w:rFonts w:asciiTheme="minorEastAsia" w:eastAsiaTheme="minorEastAsia" w:hAnsiTheme="minorEastAsia"/>
                <w:bCs/>
                <w:kern w:val="0"/>
                <w:sz w:val="18"/>
              </w:rPr>
              <w:t>/</w:t>
            </w:r>
            <w:r>
              <w:rPr>
                <w:rFonts w:asciiTheme="minorEastAsia" w:eastAsiaTheme="minorEastAsia" w:hAnsiTheme="minorEastAsia" w:hint="eastAsia"/>
                <w:bCs/>
                <w:kern w:val="0"/>
                <w:sz w:val="18"/>
              </w:rPr>
              <w:t>视频终端</w:t>
            </w:r>
          </w:p>
        </w:tc>
        <w:tc>
          <w:tcPr>
            <w:tcW w:w="2523" w:type="pc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信号正常，无告警、报错；时间校准功能正常，误差不超过</w:t>
            </w:r>
            <w:r>
              <w:rPr>
                <w:rFonts w:asciiTheme="minorEastAsia" w:eastAsiaTheme="minorEastAsia" w:hAnsiTheme="minorEastAsia"/>
                <w:bCs/>
                <w:kern w:val="0"/>
                <w:sz w:val="18"/>
              </w:rPr>
              <w:t>30 S</w:t>
            </w:r>
          </w:p>
        </w:tc>
        <w:tc>
          <w:tcPr>
            <w:tcW w:w="1207" w:type="pct"/>
            <w:vMerge w:val="restar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每季度</w:t>
            </w:r>
          </w:p>
        </w:tc>
      </w:tr>
      <w:tr w:rsidR="00F65813">
        <w:trPr>
          <w:trHeight w:val="646"/>
          <w:jc w:val="center"/>
        </w:trPr>
        <w:tc>
          <w:tcPr>
            <w:tcW w:w="1270" w:type="pct"/>
            <w:vMerge/>
            <w:shd w:val="clear" w:color="auto" w:fill="auto"/>
            <w:vAlign w:val="center"/>
          </w:tcPr>
          <w:p w:rsidR="00F65813" w:rsidRDefault="00F65813">
            <w:pPr>
              <w:keepNext/>
              <w:adjustRightInd w:val="0"/>
              <w:snapToGrid w:val="0"/>
              <w:spacing w:after="0"/>
              <w:jc w:val="center"/>
              <w:rPr>
                <w:rFonts w:asciiTheme="minorEastAsia" w:eastAsiaTheme="minorEastAsia" w:hAnsiTheme="minorEastAsia"/>
                <w:bCs/>
                <w:kern w:val="0"/>
                <w:sz w:val="18"/>
              </w:rPr>
            </w:pPr>
          </w:p>
        </w:tc>
        <w:tc>
          <w:tcPr>
            <w:tcW w:w="2523" w:type="pc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外观无损坏、锈蚀、松动、进水</w:t>
            </w:r>
          </w:p>
        </w:tc>
        <w:tc>
          <w:tcPr>
            <w:tcW w:w="1207" w:type="pct"/>
            <w:vMerge/>
            <w:shd w:val="clear" w:color="auto" w:fill="auto"/>
            <w:vAlign w:val="center"/>
          </w:tcPr>
          <w:p w:rsidR="00F65813" w:rsidRDefault="00F65813">
            <w:pPr>
              <w:keepNext/>
              <w:adjustRightInd w:val="0"/>
              <w:snapToGrid w:val="0"/>
              <w:spacing w:after="0"/>
              <w:jc w:val="center"/>
              <w:rPr>
                <w:rFonts w:asciiTheme="minorEastAsia" w:eastAsiaTheme="minorEastAsia" w:hAnsiTheme="minorEastAsia"/>
                <w:bCs/>
                <w:kern w:val="0"/>
                <w:sz w:val="18"/>
              </w:rPr>
            </w:pPr>
          </w:p>
        </w:tc>
      </w:tr>
      <w:tr w:rsidR="00F65813">
        <w:trPr>
          <w:trHeight w:val="278"/>
          <w:jc w:val="center"/>
        </w:trPr>
        <w:tc>
          <w:tcPr>
            <w:tcW w:w="1270" w:type="pct"/>
            <w:vMerge/>
            <w:shd w:val="clear" w:color="auto" w:fill="auto"/>
            <w:vAlign w:val="center"/>
          </w:tcPr>
          <w:p w:rsidR="00F65813" w:rsidRDefault="00F65813">
            <w:pPr>
              <w:keepNext/>
              <w:adjustRightInd w:val="0"/>
              <w:snapToGrid w:val="0"/>
              <w:spacing w:after="0"/>
              <w:jc w:val="left"/>
              <w:rPr>
                <w:rFonts w:asciiTheme="minorEastAsia" w:eastAsiaTheme="minorEastAsia" w:hAnsiTheme="minorEastAsia"/>
              </w:rPr>
            </w:pPr>
          </w:p>
        </w:tc>
        <w:tc>
          <w:tcPr>
            <w:tcW w:w="2523" w:type="pc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图像无黑屏、模糊、遮挡、水汽；视频无断线、重启、卡顿；聚焦、变焦、转动正常</w:t>
            </w:r>
          </w:p>
        </w:tc>
        <w:tc>
          <w:tcPr>
            <w:tcW w:w="1207" w:type="pct"/>
            <w:vMerge/>
            <w:shd w:val="clear" w:color="auto" w:fill="auto"/>
            <w:vAlign w:val="center"/>
          </w:tcPr>
          <w:p w:rsidR="00F65813" w:rsidRDefault="00F65813">
            <w:pPr>
              <w:keepNext/>
              <w:adjustRightInd w:val="0"/>
              <w:snapToGrid w:val="0"/>
              <w:spacing w:after="0"/>
              <w:jc w:val="left"/>
              <w:rPr>
                <w:rFonts w:asciiTheme="minorEastAsia" w:eastAsiaTheme="minorEastAsia" w:hAnsiTheme="minorEastAsia"/>
                <w:bCs/>
                <w:kern w:val="0"/>
                <w:sz w:val="18"/>
              </w:rPr>
            </w:pPr>
          </w:p>
        </w:tc>
      </w:tr>
      <w:tr w:rsidR="00F65813">
        <w:trPr>
          <w:trHeight w:val="567"/>
          <w:jc w:val="center"/>
        </w:trPr>
        <w:tc>
          <w:tcPr>
            <w:tcW w:w="1270" w:type="pc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通讯网线、光纤线路</w:t>
            </w:r>
          </w:p>
        </w:tc>
        <w:tc>
          <w:tcPr>
            <w:tcW w:w="2523" w:type="pc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线缆无断裂、开裂、松动、衰减；通信链路传输正常，无丢包、延迟</w:t>
            </w:r>
          </w:p>
        </w:tc>
        <w:tc>
          <w:tcPr>
            <w:tcW w:w="1207" w:type="pct"/>
            <w:shd w:val="clear" w:color="auto" w:fill="auto"/>
            <w:vAlign w:val="center"/>
          </w:tcPr>
          <w:p w:rsidR="00F65813" w:rsidRDefault="00EB0B4C">
            <w:pPr>
              <w:keepNext/>
              <w:adjustRightInd w:val="0"/>
              <w:snapToGrid w:val="0"/>
              <w:spacing w:after="0"/>
              <w:jc w:val="center"/>
              <w:rPr>
                <w:rFonts w:asciiTheme="minorEastAsia" w:eastAsiaTheme="minorEastAsia" w:hAnsiTheme="minorEastAsia"/>
                <w:bCs/>
                <w:kern w:val="0"/>
                <w:sz w:val="18"/>
              </w:rPr>
            </w:pPr>
            <w:r>
              <w:rPr>
                <w:rFonts w:asciiTheme="minorEastAsia" w:eastAsiaTheme="minorEastAsia" w:hAnsiTheme="minorEastAsia" w:hint="eastAsia"/>
                <w:bCs/>
                <w:kern w:val="0"/>
                <w:sz w:val="18"/>
              </w:rPr>
              <w:t>每月</w:t>
            </w:r>
          </w:p>
        </w:tc>
      </w:tr>
    </w:tbl>
    <w:p w:rsidR="00F65813" w:rsidRDefault="00F65813">
      <w:pPr>
        <w:adjustRightInd w:val="0"/>
        <w:snapToGrid w:val="0"/>
        <w:spacing w:after="0"/>
        <w:jc w:val="center"/>
        <w:rPr>
          <w:bCs/>
          <w:kern w:val="0"/>
          <w:sz w:val="18"/>
        </w:rPr>
      </w:pPr>
    </w:p>
    <w:p w:rsidR="00F65813" w:rsidRDefault="00EB0B4C">
      <w:pPr>
        <w:pStyle w:val="a4"/>
        <w:numPr>
          <w:ilvl w:val="0"/>
          <w:numId w:val="0"/>
        </w:numPr>
        <w:spacing w:before="156" w:after="156"/>
        <w:rPr>
          <w:rFonts w:ascii="Times New Roman" w:cs="Times New Roman"/>
        </w:rPr>
      </w:pPr>
      <w:bookmarkStart w:id="237" w:name="_Toc71206597"/>
      <w:r>
        <w:rPr>
          <w:rFonts w:hAnsi="黑体"/>
        </w:rPr>
        <w:t xml:space="preserve">11.7 </w:t>
      </w:r>
      <w:r>
        <w:rPr>
          <w:rFonts w:ascii="Times New Roman" w:cs="Times New Roman" w:hint="eastAsia"/>
        </w:rPr>
        <w:t>资料管理要求</w:t>
      </w:r>
      <w:bookmarkEnd w:id="237"/>
    </w:p>
    <w:p w:rsidR="00F65813" w:rsidRDefault="00EB0B4C">
      <w:pPr>
        <w:pStyle w:val="a5"/>
        <w:widowControl w:val="0"/>
        <w:numPr>
          <w:ilvl w:val="0"/>
          <w:numId w:val="0"/>
        </w:numPr>
        <w:adjustRightInd w:val="0"/>
        <w:snapToGrid w:val="0"/>
        <w:spacing w:beforeLines="0" w:afterLines="0"/>
        <w:rPr>
          <w:rFonts w:asciiTheme="minorEastAsia" w:eastAsiaTheme="minorEastAsia" w:hAnsiTheme="minorEastAsia" w:cs="Times New Roman"/>
        </w:rPr>
      </w:pPr>
      <w:r>
        <w:rPr>
          <w:rFonts w:hAnsi="黑体"/>
        </w:rPr>
        <w:t xml:space="preserve">11.7.1 </w:t>
      </w:r>
      <w:r>
        <w:rPr>
          <w:rFonts w:asciiTheme="minorEastAsia" w:eastAsiaTheme="minorEastAsia" w:hAnsiTheme="minorEastAsia" w:cs="Times New Roman" w:hint="eastAsia"/>
        </w:rPr>
        <w:t>维护单位在对景观照明设施进行巡检、维护及维修时，应如实填写运行维护资料，并交建设单位存档。</w:t>
      </w:r>
    </w:p>
    <w:p w:rsidR="00F65813" w:rsidRDefault="00EB0B4C">
      <w:pPr>
        <w:pStyle w:val="a5"/>
        <w:widowControl w:val="0"/>
        <w:numPr>
          <w:ilvl w:val="0"/>
          <w:numId w:val="0"/>
        </w:numPr>
        <w:adjustRightInd w:val="0"/>
        <w:snapToGrid w:val="0"/>
        <w:spacing w:beforeLines="0" w:afterLines="0"/>
        <w:rPr>
          <w:rFonts w:asciiTheme="minorEastAsia" w:eastAsiaTheme="minorEastAsia" w:hAnsiTheme="minorEastAsia" w:cs="Times New Roman"/>
        </w:rPr>
      </w:pPr>
      <w:r>
        <w:rPr>
          <w:rFonts w:hAnsi="黑体"/>
        </w:rPr>
        <w:t xml:space="preserve">11.7.2 </w:t>
      </w:r>
      <w:r>
        <w:rPr>
          <w:rFonts w:asciiTheme="minorEastAsia" w:eastAsiaTheme="minorEastAsia" w:hAnsiTheme="minorEastAsia" w:cs="Times New Roman" w:hint="eastAsia"/>
        </w:rPr>
        <w:t>景观照明设施巡检、维护及维修记录见附录</w:t>
      </w:r>
      <w:r>
        <w:rPr>
          <w:rFonts w:asciiTheme="minorEastAsia" w:eastAsiaTheme="minorEastAsia" w:hAnsiTheme="minorEastAsia" w:cs="Times New Roman"/>
        </w:rPr>
        <w:t>B</w:t>
      </w:r>
      <w:r>
        <w:rPr>
          <w:rFonts w:asciiTheme="minorEastAsia" w:eastAsiaTheme="minorEastAsia" w:hAnsiTheme="minorEastAsia" w:cs="Times New Roman" w:hint="eastAsia"/>
        </w:rPr>
        <w:t>。</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a</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《故障维护记录表》按表</w:t>
      </w:r>
      <w:r>
        <w:rPr>
          <w:rFonts w:asciiTheme="minorEastAsia" w:eastAsiaTheme="minorEastAsia" w:hAnsiTheme="minorEastAsia" w:cs="Times New Roman"/>
        </w:rPr>
        <w:t>B.1</w:t>
      </w:r>
      <w:r>
        <w:rPr>
          <w:rFonts w:asciiTheme="minorEastAsia" w:eastAsiaTheme="minorEastAsia" w:hAnsiTheme="minorEastAsia" w:cs="Times New Roman" w:hint="eastAsia"/>
        </w:rPr>
        <w:t>填报，</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hint="eastAsia"/>
        </w:rPr>
        <w:t>b</w:t>
      </w: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《设备备案表》按表</w:t>
      </w:r>
      <w:r>
        <w:rPr>
          <w:rFonts w:asciiTheme="minorEastAsia" w:eastAsiaTheme="minorEastAsia" w:hAnsiTheme="minorEastAsia" w:cs="Times New Roman"/>
        </w:rPr>
        <w:t>B.2</w:t>
      </w:r>
      <w:r>
        <w:rPr>
          <w:rFonts w:asciiTheme="minorEastAsia" w:eastAsiaTheme="minorEastAsia" w:hAnsiTheme="minorEastAsia" w:cs="Times New Roman" w:hint="eastAsia"/>
        </w:rPr>
        <w:t>填报，</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rPr>
        <w:t xml:space="preserve">c)  </w:t>
      </w:r>
      <w:r>
        <w:rPr>
          <w:rFonts w:asciiTheme="minorEastAsia" w:eastAsiaTheme="minorEastAsia" w:hAnsiTheme="minorEastAsia" w:cs="Times New Roman" w:hint="eastAsia"/>
        </w:rPr>
        <w:t>《灯具更换记录表》按表</w:t>
      </w:r>
      <w:r>
        <w:rPr>
          <w:rFonts w:asciiTheme="minorEastAsia" w:eastAsiaTheme="minorEastAsia" w:hAnsiTheme="minorEastAsia" w:cs="Times New Roman"/>
        </w:rPr>
        <w:t>B.3</w:t>
      </w:r>
      <w:r>
        <w:rPr>
          <w:rFonts w:asciiTheme="minorEastAsia" w:eastAsiaTheme="minorEastAsia" w:hAnsiTheme="minorEastAsia" w:cs="Times New Roman" w:hint="eastAsia"/>
        </w:rPr>
        <w:t>填报，</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rPr>
        <w:t xml:space="preserve">d)  </w:t>
      </w:r>
      <w:r>
        <w:rPr>
          <w:rFonts w:asciiTheme="minorEastAsia" w:eastAsiaTheme="minorEastAsia" w:hAnsiTheme="minorEastAsia" w:cs="Times New Roman" w:hint="eastAsia"/>
        </w:rPr>
        <w:t>《配电箱（柜）更换记录表》，按表</w:t>
      </w:r>
      <w:r>
        <w:rPr>
          <w:rFonts w:asciiTheme="minorEastAsia" w:eastAsiaTheme="minorEastAsia" w:hAnsiTheme="minorEastAsia" w:cs="Times New Roman"/>
        </w:rPr>
        <w:t>B.4</w:t>
      </w:r>
      <w:r>
        <w:rPr>
          <w:rFonts w:asciiTheme="minorEastAsia" w:eastAsiaTheme="minorEastAsia" w:hAnsiTheme="minorEastAsia" w:cs="Times New Roman" w:hint="eastAsia"/>
        </w:rPr>
        <w:t>填报，</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rPr>
        <w:t xml:space="preserve">e)  </w:t>
      </w:r>
      <w:r>
        <w:rPr>
          <w:rFonts w:asciiTheme="minorEastAsia" w:eastAsiaTheme="minorEastAsia" w:hAnsiTheme="minorEastAsia" w:cs="Times New Roman" w:hint="eastAsia"/>
        </w:rPr>
        <w:t>《日常运行巡检记录表》，按表</w:t>
      </w:r>
      <w:r>
        <w:rPr>
          <w:rFonts w:asciiTheme="minorEastAsia" w:eastAsiaTheme="minorEastAsia" w:hAnsiTheme="minorEastAsia" w:cs="Times New Roman"/>
        </w:rPr>
        <w:t>B.5</w:t>
      </w:r>
      <w:r>
        <w:rPr>
          <w:rFonts w:asciiTheme="minorEastAsia" w:eastAsiaTheme="minorEastAsia" w:hAnsiTheme="minorEastAsia" w:cs="Times New Roman" w:hint="eastAsia"/>
        </w:rPr>
        <w:t>填报，</w:t>
      </w:r>
    </w:p>
    <w:p w:rsidR="00F65813" w:rsidRDefault="00EB0B4C">
      <w:pPr>
        <w:pStyle w:val="a4"/>
        <w:numPr>
          <w:ilvl w:val="0"/>
          <w:numId w:val="0"/>
        </w:numPr>
        <w:spacing w:beforeLines="0" w:afterLines="0"/>
        <w:ind w:left="420"/>
        <w:outlineLvl w:val="9"/>
        <w:rPr>
          <w:rFonts w:asciiTheme="minorEastAsia" w:eastAsiaTheme="minorEastAsia" w:hAnsiTheme="minorEastAsia" w:cs="Times New Roman"/>
        </w:rPr>
      </w:pPr>
      <w:r>
        <w:rPr>
          <w:rFonts w:asciiTheme="minorEastAsia" w:eastAsiaTheme="minorEastAsia" w:hAnsiTheme="minorEastAsia" w:cs="Times New Roman"/>
        </w:rPr>
        <w:t xml:space="preserve">f)  </w:t>
      </w:r>
      <w:r>
        <w:rPr>
          <w:rFonts w:asciiTheme="minorEastAsia" w:eastAsiaTheme="minorEastAsia" w:hAnsiTheme="minorEastAsia" w:cs="Times New Roman" w:hint="eastAsia"/>
        </w:rPr>
        <w:t>《定期检查记录表》，按表</w:t>
      </w:r>
      <w:r>
        <w:rPr>
          <w:rFonts w:asciiTheme="minorEastAsia" w:eastAsiaTheme="minorEastAsia" w:hAnsiTheme="minorEastAsia" w:cs="Times New Roman"/>
        </w:rPr>
        <w:t>B.6</w:t>
      </w:r>
      <w:r>
        <w:rPr>
          <w:rFonts w:asciiTheme="minorEastAsia" w:eastAsiaTheme="minorEastAsia" w:hAnsiTheme="minorEastAsia" w:cs="Times New Roman" w:hint="eastAsia"/>
        </w:rPr>
        <w:t>填报。</w:t>
      </w:r>
    </w:p>
    <w:p w:rsidR="00F65813" w:rsidRDefault="00F65813">
      <w:pPr>
        <w:pStyle w:val="a3"/>
        <w:widowControl w:val="0"/>
        <w:numPr>
          <w:ilvl w:val="0"/>
          <w:numId w:val="0"/>
        </w:numPr>
        <w:spacing w:beforeLines="0" w:afterLines="0"/>
        <w:jc w:val="center"/>
        <w:rPr>
          <w:rFonts w:ascii="Times New Roman" w:cs="Times New Roman"/>
        </w:rPr>
        <w:sectPr w:rsidR="00F65813">
          <w:footerReference w:type="even" r:id="rId8"/>
          <w:footerReference w:type="default" r:id="rId9"/>
          <w:footerReference w:type="first" r:id="rId10"/>
          <w:footnotePr>
            <w:numRestart w:val="eachPage"/>
          </w:footnotePr>
          <w:pgSz w:w="11906" w:h="16838"/>
          <w:pgMar w:top="567" w:right="1134" w:bottom="1134" w:left="1418" w:header="1418" w:footer="1134" w:gutter="0"/>
          <w:pgNumType w:start="1"/>
          <w:cols w:space="425"/>
          <w:formProt w:val="0"/>
          <w:docGrid w:type="lines" w:linePitch="312"/>
        </w:sectPr>
      </w:pPr>
    </w:p>
    <w:p w:rsidR="00F65813" w:rsidRDefault="00EB0B4C">
      <w:pPr>
        <w:pStyle w:val="a3"/>
        <w:widowControl w:val="0"/>
        <w:numPr>
          <w:ilvl w:val="0"/>
          <w:numId w:val="0"/>
        </w:numPr>
        <w:spacing w:beforeLines="0" w:afterLines="0"/>
        <w:jc w:val="center"/>
        <w:rPr>
          <w:rFonts w:ascii="Times New Roman" w:cs="Times New Roman"/>
        </w:rPr>
      </w:pPr>
      <w:r>
        <w:rPr>
          <w:rFonts w:ascii="Times New Roman" w:cs="Times New Roman" w:hint="eastAsia"/>
        </w:rPr>
        <w:lastRenderedPageBreak/>
        <w:t>附录</w:t>
      </w:r>
      <w:r>
        <w:rPr>
          <w:rFonts w:ascii="Times New Roman" w:cs="Times New Roman"/>
        </w:rPr>
        <w:t>A</w:t>
      </w:r>
    </w:p>
    <w:p w:rsidR="00F65813" w:rsidRDefault="00EB0B4C">
      <w:pPr>
        <w:jc w:val="center"/>
        <w:rPr>
          <w:rFonts w:eastAsia="黑体"/>
        </w:rPr>
      </w:pPr>
      <w:r>
        <w:rPr>
          <w:rFonts w:eastAsia="黑体"/>
        </w:rPr>
        <w:t>(</w:t>
      </w:r>
      <w:r>
        <w:rPr>
          <w:rFonts w:eastAsia="黑体" w:hint="eastAsia"/>
        </w:rPr>
        <w:t>规范性）</w:t>
      </w:r>
    </w:p>
    <w:p w:rsidR="00F65813" w:rsidRDefault="00EB0B4C">
      <w:pPr>
        <w:jc w:val="center"/>
        <w:rPr>
          <w:rFonts w:eastAsia="黑体"/>
        </w:rPr>
      </w:pPr>
      <w:r>
        <w:rPr>
          <w:rFonts w:eastAsia="黑体" w:hint="eastAsia"/>
        </w:rPr>
        <w:t>环境</w:t>
      </w:r>
      <w:r>
        <w:rPr>
          <w:rFonts w:eastAsia="黑体" w:hint="eastAsia"/>
        </w:rPr>
        <w:t>区域划分</w:t>
      </w:r>
    </w:p>
    <w:p w:rsidR="00F65813" w:rsidRPr="00F65813" w:rsidRDefault="00F65813">
      <w:pPr>
        <w:pStyle w:val="afffffff1"/>
        <w:numPr>
          <w:ilvl w:val="1"/>
          <w:numId w:val="11"/>
        </w:numPr>
        <w:spacing w:before="156" w:after="156"/>
      </w:pPr>
      <w:r w:rsidRPr="00F65813">
        <w:rPr>
          <w:rFonts w:hint="eastAsia"/>
        </w:rPr>
        <w:t>环境区域应根据环境亮度和活动内容按下列规定划分</w:t>
      </w:r>
    </w:p>
    <w:p w:rsidR="00F65813" w:rsidRPr="00F65813" w:rsidRDefault="00F65813">
      <w:pPr>
        <w:pStyle w:val="afffffff2"/>
        <w:numPr>
          <w:ilvl w:val="2"/>
          <w:numId w:val="11"/>
        </w:numPr>
        <w:spacing w:before="156" w:after="156"/>
        <w:rPr>
          <w:rFonts w:ascii="宋体" w:eastAsia="宋体" w:hAnsi="宋体"/>
        </w:rPr>
      </w:pPr>
      <w:r w:rsidRPr="00F65813">
        <w:rPr>
          <w:rFonts w:ascii="宋体" w:eastAsia="宋体" w:hAnsi="宋体"/>
        </w:rPr>
        <w:t>0区为天然暗环境区，国家公园、自然保护区和天文台所在地区等；</w:t>
      </w:r>
    </w:p>
    <w:p w:rsidR="00F65813" w:rsidRPr="00F65813" w:rsidRDefault="00F65813">
      <w:pPr>
        <w:pStyle w:val="afffffff2"/>
        <w:numPr>
          <w:ilvl w:val="2"/>
          <w:numId w:val="11"/>
        </w:numPr>
        <w:spacing w:before="156" w:after="156"/>
        <w:rPr>
          <w:rFonts w:ascii="宋体" w:eastAsia="宋体" w:hAnsi="宋体"/>
        </w:rPr>
      </w:pPr>
      <w:r w:rsidRPr="00F65813">
        <w:rPr>
          <w:rFonts w:ascii="宋体" w:eastAsia="宋体" w:hAnsi="宋体"/>
        </w:rPr>
        <w:t>E1区为暗环境区，无人居住的乡村地区等；</w:t>
      </w:r>
    </w:p>
    <w:p w:rsidR="00F65813" w:rsidRPr="00F65813" w:rsidRDefault="00F65813">
      <w:pPr>
        <w:pStyle w:val="afffffff2"/>
        <w:numPr>
          <w:ilvl w:val="2"/>
          <w:numId w:val="11"/>
        </w:numPr>
        <w:spacing w:before="156" w:after="156"/>
        <w:rPr>
          <w:rFonts w:ascii="宋体" w:eastAsia="宋体" w:hAnsi="宋体"/>
        </w:rPr>
      </w:pPr>
      <w:r w:rsidRPr="00F65813">
        <w:rPr>
          <w:rFonts w:ascii="宋体" w:eastAsia="宋体" w:hAnsi="宋体"/>
        </w:rPr>
        <w:t>E2区为低亮度环境区，低密度乡村居住区等；</w:t>
      </w:r>
    </w:p>
    <w:p w:rsidR="00F65813" w:rsidRPr="00F65813" w:rsidRDefault="00F65813">
      <w:pPr>
        <w:pStyle w:val="afffffff3"/>
        <w:numPr>
          <w:ilvl w:val="2"/>
          <w:numId w:val="11"/>
        </w:numPr>
        <w:rPr>
          <w:rFonts w:hAnsi="宋体"/>
        </w:rPr>
      </w:pPr>
      <w:r w:rsidRPr="00F65813">
        <w:rPr>
          <w:rFonts w:hAnsi="宋体"/>
        </w:rPr>
        <w:t>E3区为中等亮度环境区，城乡居住区等；</w:t>
      </w:r>
    </w:p>
    <w:p w:rsidR="00F65813" w:rsidRPr="00F65813" w:rsidRDefault="00F65813">
      <w:pPr>
        <w:pStyle w:val="afffffff3"/>
        <w:numPr>
          <w:ilvl w:val="2"/>
          <w:numId w:val="11"/>
        </w:numPr>
      </w:pPr>
      <w:r w:rsidRPr="00F65813">
        <w:rPr>
          <w:rFonts w:hAnsi="宋体"/>
        </w:rPr>
        <w:t>E4区为高亮度环境区，城镇中心和商业区等</w:t>
      </w:r>
      <w:r w:rsidRPr="00F65813">
        <w:rPr>
          <w:rFonts w:hint="eastAsia"/>
        </w:rPr>
        <w:t>。</w:t>
      </w:r>
    </w:p>
    <w:p w:rsidR="00F65813" w:rsidRDefault="00EB0B4C">
      <w:pPr>
        <w:pStyle w:val="a3"/>
        <w:widowControl w:val="0"/>
        <w:numPr>
          <w:ilvl w:val="0"/>
          <w:numId w:val="0"/>
        </w:numPr>
        <w:spacing w:beforeLines="0" w:afterLines="0"/>
        <w:jc w:val="center"/>
        <w:rPr>
          <w:rFonts w:ascii="Times New Roman" w:cs="Times New Roman"/>
        </w:rPr>
      </w:pPr>
      <w:r>
        <w:rPr>
          <w:rFonts w:ascii="Times New Roman" w:cs="Times New Roman"/>
        </w:rPr>
        <w:br w:type="page"/>
      </w:r>
      <w:bookmarkStart w:id="238" w:name="_Toc48571202"/>
      <w:bookmarkStart w:id="239" w:name="_Toc71206603"/>
      <w:r>
        <w:rPr>
          <w:rFonts w:ascii="Times New Roman" w:cs="Times New Roman" w:hint="eastAsia"/>
        </w:rPr>
        <w:lastRenderedPageBreak/>
        <w:t>附录</w:t>
      </w:r>
      <w:bookmarkEnd w:id="238"/>
      <w:bookmarkEnd w:id="239"/>
      <w:r>
        <w:rPr>
          <w:rFonts w:ascii="Times New Roman" w:cs="Times New Roman"/>
        </w:rPr>
        <w:t>B</w:t>
      </w:r>
    </w:p>
    <w:p w:rsidR="00F65813" w:rsidRDefault="00EB0B4C">
      <w:pPr>
        <w:jc w:val="center"/>
        <w:rPr>
          <w:rFonts w:eastAsia="黑体"/>
        </w:rPr>
      </w:pPr>
      <w:r>
        <w:rPr>
          <w:rFonts w:eastAsia="黑体"/>
        </w:rPr>
        <w:t>(</w:t>
      </w:r>
      <w:r>
        <w:rPr>
          <w:rFonts w:eastAsia="黑体" w:hint="eastAsia"/>
        </w:rPr>
        <w:t>资料性</w:t>
      </w:r>
      <w:r>
        <w:rPr>
          <w:rFonts w:eastAsia="黑体"/>
        </w:rPr>
        <w:t>）</w:t>
      </w:r>
    </w:p>
    <w:p w:rsidR="00F65813" w:rsidRDefault="00EB0B4C">
      <w:pPr>
        <w:jc w:val="center"/>
        <w:rPr>
          <w:rFonts w:eastAsia="黑体"/>
        </w:rPr>
      </w:pPr>
      <w:r>
        <w:rPr>
          <w:rFonts w:eastAsia="黑体" w:hint="eastAsia"/>
        </w:rPr>
        <w:t>巡检、维护及维修记录</w:t>
      </w:r>
    </w:p>
    <w:p w:rsidR="00F65813" w:rsidRDefault="00EB0B4C">
      <w:pPr>
        <w:jc w:val="center"/>
        <w:outlineLvl w:val="2"/>
        <w:rPr>
          <w:rFonts w:ascii="黑体" w:eastAsia="黑体" w:hAnsi="黑体"/>
          <w:bCs/>
        </w:rPr>
      </w:pPr>
      <w:bookmarkStart w:id="240" w:name="_Toc71206604"/>
      <w:bookmarkStart w:id="241" w:name="_Toc52354346"/>
      <w:bookmarkStart w:id="242" w:name="_Toc56416289"/>
      <w:bookmarkStart w:id="243" w:name="_Toc57036656"/>
      <w:bookmarkStart w:id="244" w:name="_Toc57194696"/>
      <w:bookmarkStart w:id="245" w:name="_Toc52361185"/>
      <w:r>
        <w:rPr>
          <w:rFonts w:ascii="黑体" w:eastAsia="黑体" w:hAnsi="黑体" w:hint="eastAsia"/>
          <w:bCs/>
        </w:rPr>
        <w:t>表</w:t>
      </w:r>
      <w:r>
        <w:rPr>
          <w:rFonts w:ascii="黑体" w:eastAsia="黑体" w:hAnsi="黑体"/>
          <w:bCs/>
        </w:rPr>
        <w:t xml:space="preserve">B.1  </w:t>
      </w:r>
      <w:r>
        <w:rPr>
          <w:rFonts w:ascii="黑体" w:eastAsia="黑体" w:hAnsi="黑体" w:hint="eastAsia"/>
          <w:bCs/>
        </w:rPr>
        <w:t>故障维护记录表</w:t>
      </w:r>
      <w:bookmarkEnd w:id="240"/>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840"/>
        <w:gridCol w:w="2840"/>
        <w:gridCol w:w="2842"/>
      </w:tblGrid>
      <w:tr w:rsidR="00F65813">
        <w:trPr>
          <w:jc w:val="center"/>
        </w:trPr>
        <w:tc>
          <w:tcPr>
            <w:tcW w:w="8522" w:type="dxa"/>
            <w:gridSpan w:val="3"/>
          </w:tcPr>
          <w:p w:rsidR="00F65813" w:rsidRDefault="00EB0B4C">
            <w:pPr>
              <w:spacing w:after="0"/>
              <w:jc w:val="left"/>
              <w:rPr>
                <w:sz w:val="18"/>
                <w:szCs w:val="18"/>
              </w:rPr>
            </w:pPr>
            <w:r>
              <w:rPr>
                <w:rFonts w:hint="eastAsia"/>
                <w:sz w:val="18"/>
                <w:szCs w:val="18"/>
              </w:rPr>
              <w:t>故障现象：</w:t>
            </w:r>
          </w:p>
          <w:p w:rsidR="00F65813" w:rsidRDefault="00F65813">
            <w:pPr>
              <w:spacing w:after="0"/>
              <w:jc w:val="left"/>
              <w:rPr>
                <w:sz w:val="18"/>
                <w:szCs w:val="18"/>
              </w:rPr>
            </w:pPr>
          </w:p>
        </w:tc>
      </w:tr>
      <w:tr w:rsidR="00F65813">
        <w:trPr>
          <w:jc w:val="center"/>
        </w:trPr>
        <w:tc>
          <w:tcPr>
            <w:tcW w:w="8522" w:type="dxa"/>
            <w:gridSpan w:val="3"/>
          </w:tcPr>
          <w:p w:rsidR="00F65813" w:rsidRDefault="00EB0B4C">
            <w:pPr>
              <w:spacing w:after="0"/>
              <w:jc w:val="left"/>
              <w:rPr>
                <w:sz w:val="18"/>
                <w:szCs w:val="18"/>
              </w:rPr>
            </w:pPr>
            <w:r>
              <w:rPr>
                <w:rFonts w:hint="eastAsia"/>
                <w:sz w:val="18"/>
                <w:szCs w:val="18"/>
              </w:rPr>
              <w:t>用户描述：</w:t>
            </w:r>
          </w:p>
          <w:p w:rsidR="00F65813" w:rsidRDefault="00F65813">
            <w:pPr>
              <w:spacing w:after="0"/>
              <w:jc w:val="left"/>
              <w:rPr>
                <w:sz w:val="18"/>
                <w:szCs w:val="18"/>
              </w:rPr>
            </w:pPr>
          </w:p>
        </w:tc>
      </w:tr>
      <w:tr w:rsidR="00F65813">
        <w:trPr>
          <w:jc w:val="center"/>
        </w:trPr>
        <w:tc>
          <w:tcPr>
            <w:tcW w:w="8522" w:type="dxa"/>
            <w:gridSpan w:val="3"/>
          </w:tcPr>
          <w:p w:rsidR="00F65813" w:rsidRDefault="00EB0B4C">
            <w:pPr>
              <w:spacing w:after="0"/>
              <w:jc w:val="left"/>
              <w:rPr>
                <w:sz w:val="18"/>
                <w:szCs w:val="18"/>
              </w:rPr>
            </w:pPr>
            <w:r>
              <w:rPr>
                <w:rFonts w:hint="eastAsia"/>
                <w:sz w:val="18"/>
                <w:szCs w:val="18"/>
              </w:rPr>
              <w:t>现场勘探情况：</w:t>
            </w:r>
          </w:p>
          <w:p w:rsidR="00F65813" w:rsidRDefault="00F65813">
            <w:pPr>
              <w:spacing w:after="0"/>
              <w:jc w:val="left"/>
              <w:rPr>
                <w:sz w:val="18"/>
                <w:szCs w:val="18"/>
              </w:rPr>
            </w:pPr>
          </w:p>
        </w:tc>
      </w:tr>
      <w:tr w:rsidR="00F65813">
        <w:trPr>
          <w:jc w:val="center"/>
        </w:trPr>
        <w:tc>
          <w:tcPr>
            <w:tcW w:w="8522" w:type="dxa"/>
            <w:gridSpan w:val="3"/>
          </w:tcPr>
          <w:p w:rsidR="00F65813" w:rsidRDefault="00EB0B4C">
            <w:pPr>
              <w:spacing w:after="0"/>
              <w:jc w:val="left"/>
              <w:rPr>
                <w:sz w:val="18"/>
                <w:szCs w:val="18"/>
              </w:rPr>
            </w:pPr>
            <w:r>
              <w:rPr>
                <w:rFonts w:hint="eastAsia"/>
                <w:sz w:val="18"/>
                <w:szCs w:val="18"/>
              </w:rPr>
              <w:t>故障分析：</w:t>
            </w:r>
          </w:p>
          <w:p w:rsidR="00F65813" w:rsidRDefault="00F65813">
            <w:pPr>
              <w:spacing w:after="0"/>
              <w:jc w:val="left"/>
              <w:rPr>
                <w:sz w:val="18"/>
                <w:szCs w:val="18"/>
              </w:rPr>
            </w:pPr>
          </w:p>
          <w:p w:rsidR="00F65813" w:rsidRDefault="00F65813">
            <w:pPr>
              <w:spacing w:after="0"/>
              <w:jc w:val="left"/>
              <w:rPr>
                <w:sz w:val="18"/>
                <w:szCs w:val="18"/>
              </w:rPr>
            </w:pPr>
          </w:p>
          <w:p w:rsidR="00F65813" w:rsidRDefault="00F65813">
            <w:pPr>
              <w:spacing w:after="0"/>
              <w:jc w:val="left"/>
              <w:rPr>
                <w:sz w:val="18"/>
                <w:szCs w:val="18"/>
              </w:rPr>
            </w:pPr>
          </w:p>
          <w:p w:rsidR="00F65813" w:rsidRDefault="00F65813">
            <w:pPr>
              <w:spacing w:after="0"/>
              <w:jc w:val="left"/>
              <w:rPr>
                <w:sz w:val="18"/>
                <w:szCs w:val="18"/>
              </w:rPr>
            </w:pPr>
          </w:p>
          <w:p w:rsidR="00F65813" w:rsidRDefault="00F65813">
            <w:pPr>
              <w:spacing w:after="0"/>
              <w:jc w:val="left"/>
              <w:rPr>
                <w:sz w:val="18"/>
                <w:szCs w:val="18"/>
              </w:rPr>
            </w:pPr>
          </w:p>
          <w:p w:rsidR="00F65813" w:rsidRDefault="00F65813">
            <w:pPr>
              <w:spacing w:after="0"/>
              <w:jc w:val="left"/>
              <w:rPr>
                <w:sz w:val="18"/>
                <w:szCs w:val="18"/>
              </w:rPr>
            </w:pPr>
          </w:p>
        </w:tc>
      </w:tr>
      <w:tr w:rsidR="00F65813">
        <w:trPr>
          <w:trHeight w:val="2854"/>
          <w:jc w:val="center"/>
        </w:trPr>
        <w:tc>
          <w:tcPr>
            <w:tcW w:w="8522" w:type="dxa"/>
            <w:gridSpan w:val="3"/>
          </w:tcPr>
          <w:p w:rsidR="00F65813" w:rsidRDefault="00EB0B4C">
            <w:pPr>
              <w:spacing w:after="0"/>
              <w:jc w:val="left"/>
              <w:rPr>
                <w:sz w:val="18"/>
                <w:szCs w:val="18"/>
              </w:rPr>
            </w:pPr>
            <w:r>
              <w:rPr>
                <w:rFonts w:hint="eastAsia"/>
                <w:sz w:val="18"/>
                <w:szCs w:val="18"/>
              </w:rPr>
              <w:t>处理方法：</w:t>
            </w:r>
          </w:p>
          <w:p w:rsidR="00F65813" w:rsidRDefault="00F65813">
            <w:pPr>
              <w:spacing w:after="0"/>
              <w:jc w:val="left"/>
              <w:rPr>
                <w:sz w:val="18"/>
                <w:szCs w:val="18"/>
              </w:rPr>
            </w:pPr>
          </w:p>
          <w:p w:rsidR="00F65813" w:rsidRDefault="00F65813">
            <w:pPr>
              <w:spacing w:after="0"/>
              <w:jc w:val="left"/>
              <w:rPr>
                <w:sz w:val="18"/>
                <w:szCs w:val="18"/>
              </w:rPr>
            </w:pPr>
          </w:p>
          <w:p w:rsidR="00F65813" w:rsidRDefault="00F65813">
            <w:pPr>
              <w:spacing w:after="0"/>
              <w:jc w:val="left"/>
              <w:rPr>
                <w:sz w:val="18"/>
                <w:szCs w:val="18"/>
              </w:rPr>
            </w:pPr>
          </w:p>
          <w:p w:rsidR="00F65813" w:rsidRDefault="00F65813">
            <w:pPr>
              <w:spacing w:after="0"/>
              <w:jc w:val="left"/>
              <w:rPr>
                <w:sz w:val="18"/>
                <w:szCs w:val="18"/>
              </w:rPr>
            </w:pPr>
          </w:p>
          <w:p w:rsidR="00F65813" w:rsidRDefault="00F65813">
            <w:pPr>
              <w:spacing w:after="0"/>
              <w:jc w:val="left"/>
              <w:rPr>
                <w:sz w:val="18"/>
                <w:szCs w:val="18"/>
              </w:rPr>
            </w:pPr>
          </w:p>
          <w:p w:rsidR="00F65813" w:rsidRDefault="00F65813">
            <w:pPr>
              <w:spacing w:after="0"/>
              <w:jc w:val="left"/>
              <w:rPr>
                <w:sz w:val="18"/>
                <w:szCs w:val="18"/>
              </w:rPr>
            </w:pPr>
          </w:p>
          <w:p w:rsidR="00F65813" w:rsidRDefault="00F65813">
            <w:pPr>
              <w:spacing w:after="0"/>
              <w:jc w:val="left"/>
              <w:rPr>
                <w:sz w:val="18"/>
                <w:szCs w:val="18"/>
              </w:rPr>
            </w:pPr>
          </w:p>
          <w:p w:rsidR="00F65813" w:rsidRDefault="00F65813">
            <w:pPr>
              <w:spacing w:after="0"/>
              <w:jc w:val="left"/>
              <w:rPr>
                <w:sz w:val="18"/>
                <w:szCs w:val="18"/>
              </w:rPr>
            </w:pPr>
          </w:p>
        </w:tc>
      </w:tr>
      <w:tr w:rsidR="00F65813">
        <w:trPr>
          <w:trHeight w:val="598"/>
          <w:jc w:val="center"/>
        </w:trPr>
        <w:tc>
          <w:tcPr>
            <w:tcW w:w="8522" w:type="dxa"/>
            <w:gridSpan w:val="3"/>
          </w:tcPr>
          <w:p w:rsidR="00F65813" w:rsidRDefault="00EB0B4C">
            <w:pPr>
              <w:spacing w:after="0"/>
              <w:jc w:val="left"/>
              <w:rPr>
                <w:sz w:val="18"/>
                <w:szCs w:val="18"/>
              </w:rPr>
            </w:pPr>
            <w:r>
              <w:rPr>
                <w:rFonts w:hint="eastAsia"/>
                <w:sz w:val="18"/>
                <w:szCs w:val="18"/>
              </w:rPr>
              <w:t>备注：</w:t>
            </w:r>
          </w:p>
          <w:p w:rsidR="00F65813" w:rsidRDefault="00F65813">
            <w:pPr>
              <w:spacing w:after="0"/>
              <w:jc w:val="left"/>
              <w:rPr>
                <w:sz w:val="18"/>
                <w:szCs w:val="18"/>
              </w:rPr>
            </w:pPr>
          </w:p>
          <w:p w:rsidR="00F65813" w:rsidRDefault="00F65813">
            <w:pPr>
              <w:spacing w:after="0"/>
              <w:jc w:val="left"/>
              <w:rPr>
                <w:sz w:val="18"/>
                <w:szCs w:val="18"/>
              </w:rPr>
            </w:pPr>
          </w:p>
        </w:tc>
      </w:tr>
      <w:tr w:rsidR="00F65813">
        <w:trPr>
          <w:trHeight w:val="598"/>
          <w:jc w:val="center"/>
        </w:trPr>
        <w:tc>
          <w:tcPr>
            <w:tcW w:w="8522" w:type="dxa"/>
            <w:gridSpan w:val="3"/>
          </w:tcPr>
          <w:p w:rsidR="00F65813" w:rsidRDefault="00EB0B4C">
            <w:pPr>
              <w:spacing w:after="0"/>
              <w:jc w:val="left"/>
              <w:rPr>
                <w:sz w:val="18"/>
                <w:szCs w:val="18"/>
              </w:rPr>
            </w:pPr>
            <w:r>
              <w:rPr>
                <w:rFonts w:hint="eastAsia"/>
                <w:sz w:val="18"/>
                <w:szCs w:val="18"/>
              </w:rPr>
              <w:t>维修及改进建议：</w:t>
            </w:r>
          </w:p>
          <w:p w:rsidR="00F65813" w:rsidRDefault="00F65813">
            <w:pPr>
              <w:spacing w:after="0"/>
              <w:jc w:val="left"/>
              <w:rPr>
                <w:sz w:val="18"/>
                <w:szCs w:val="18"/>
              </w:rPr>
            </w:pPr>
          </w:p>
        </w:tc>
      </w:tr>
      <w:tr w:rsidR="00F65813">
        <w:trPr>
          <w:trHeight w:val="598"/>
          <w:jc w:val="center"/>
        </w:trPr>
        <w:tc>
          <w:tcPr>
            <w:tcW w:w="2840" w:type="dxa"/>
            <w:vAlign w:val="center"/>
          </w:tcPr>
          <w:p w:rsidR="00F65813" w:rsidRDefault="00EB0B4C">
            <w:pPr>
              <w:spacing w:after="0"/>
              <w:rPr>
                <w:sz w:val="18"/>
                <w:szCs w:val="18"/>
              </w:rPr>
            </w:pPr>
            <w:r>
              <w:rPr>
                <w:rFonts w:hint="eastAsia"/>
                <w:sz w:val="18"/>
                <w:szCs w:val="18"/>
              </w:rPr>
              <w:t>维修人员确认：</w:t>
            </w:r>
          </w:p>
        </w:tc>
        <w:tc>
          <w:tcPr>
            <w:tcW w:w="2840" w:type="dxa"/>
            <w:vAlign w:val="center"/>
          </w:tcPr>
          <w:p w:rsidR="00F65813" w:rsidRDefault="00EB0B4C">
            <w:pPr>
              <w:spacing w:after="0"/>
              <w:rPr>
                <w:sz w:val="18"/>
                <w:szCs w:val="18"/>
              </w:rPr>
            </w:pPr>
            <w:r>
              <w:rPr>
                <w:rFonts w:hint="eastAsia"/>
                <w:sz w:val="18"/>
                <w:szCs w:val="18"/>
              </w:rPr>
              <w:t>用户确认：</w:t>
            </w:r>
          </w:p>
        </w:tc>
        <w:tc>
          <w:tcPr>
            <w:tcW w:w="2842" w:type="dxa"/>
            <w:vAlign w:val="center"/>
          </w:tcPr>
          <w:p w:rsidR="00F65813" w:rsidRDefault="00EB0B4C">
            <w:pPr>
              <w:spacing w:after="0"/>
              <w:rPr>
                <w:sz w:val="18"/>
                <w:szCs w:val="18"/>
              </w:rPr>
            </w:pPr>
            <w:r>
              <w:rPr>
                <w:rFonts w:hint="eastAsia"/>
                <w:sz w:val="18"/>
                <w:szCs w:val="18"/>
              </w:rPr>
              <w:t>日期：</w:t>
            </w:r>
          </w:p>
        </w:tc>
      </w:tr>
    </w:tbl>
    <w:p w:rsidR="00F65813" w:rsidRDefault="00F65813">
      <w:pPr>
        <w:jc w:val="center"/>
        <w:outlineLvl w:val="2"/>
        <w:rPr>
          <w:rFonts w:eastAsia="黑体"/>
          <w:bCs/>
        </w:rPr>
        <w:sectPr w:rsidR="00F65813">
          <w:footerReference w:type="even" r:id="rId11"/>
          <w:footnotePr>
            <w:numRestart w:val="eachPage"/>
          </w:footnotePr>
          <w:pgSz w:w="11906" w:h="16838"/>
          <w:pgMar w:top="567" w:right="1134" w:bottom="1134" w:left="1418" w:header="1418" w:footer="1134" w:gutter="0"/>
          <w:cols w:space="425"/>
          <w:formProt w:val="0"/>
          <w:docGrid w:type="lines" w:linePitch="312"/>
        </w:sectPr>
      </w:pPr>
    </w:p>
    <w:p w:rsidR="00F65813" w:rsidRDefault="00EB0B4C">
      <w:pPr>
        <w:jc w:val="center"/>
        <w:outlineLvl w:val="2"/>
        <w:rPr>
          <w:rFonts w:ascii="黑体" w:eastAsia="黑体" w:hAnsi="黑体"/>
          <w:bCs/>
        </w:rPr>
      </w:pPr>
      <w:bookmarkStart w:id="246" w:name="_Toc71206605"/>
      <w:r>
        <w:rPr>
          <w:rFonts w:ascii="黑体" w:eastAsia="黑体" w:hAnsi="黑体" w:hint="eastAsia"/>
          <w:bCs/>
        </w:rPr>
        <w:lastRenderedPageBreak/>
        <w:t>表</w:t>
      </w:r>
      <w:r>
        <w:rPr>
          <w:rFonts w:ascii="黑体" w:eastAsia="黑体" w:hAnsi="黑体"/>
          <w:bCs/>
        </w:rPr>
        <w:t xml:space="preserve">B.2  </w:t>
      </w:r>
      <w:r>
        <w:rPr>
          <w:rFonts w:ascii="黑体" w:eastAsia="黑体" w:hAnsi="黑体" w:hint="eastAsia"/>
          <w:bCs/>
        </w:rPr>
        <w:t>设备备案表</w:t>
      </w:r>
      <w:bookmarkEnd w:id="241"/>
      <w:bookmarkEnd w:id="242"/>
      <w:bookmarkEnd w:id="243"/>
      <w:bookmarkEnd w:id="244"/>
      <w:bookmarkEnd w:id="245"/>
      <w:bookmarkEnd w:id="246"/>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86"/>
        <w:gridCol w:w="2054"/>
        <w:gridCol w:w="1420"/>
        <w:gridCol w:w="139"/>
        <w:gridCol w:w="1637"/>
        <w:gridCol w:w="1065"/>
        <w:gridCol w:w="1421"/>
      </w:tblGrid>
      <w:tr w:rsidR="00F65813">
        <w:trPr>
          <w:trHeight w:val="510"/>
          <w:jc w:val="center"/>
        </w:trPr>
        <w:tc>
          <w:tcPr>
            <w:tcW w:w="2840" w:type="dxa"/>
            <w:gridSpan w:val="2"/>
            <w:vAlign w:val="center"/>
          </w:tcPr>
          <w:p w:rsidR="00F65813" w:rsidRDefault="00EB0B4C">
            <w:pPr>
              <w:spacing w:after="0"/>
              <w:jc w:val="center"/>
              <w:rPr>
                <w:sz w:val="18"/>
                <w:szCs w:val="18"/>
              </w:rPr>
            </w:pPr>
            <w:r>
              <w:rPr>
                <w:rFonts w:hint="eastAsia"/>
                <w:sz w:val="18"/>
                <w:szCs w:val="18"/>
              </w:rPr>
              <w:t>工程名称</w:t>
            </w:r>
          </w:p>
        </w:tc>
        <w:tc>
          <w:tcPr>
            <w:tcW w:w="5682" w:type="dxa"/>
            <w:gridSpan w:val="5"/>
          </w:tcPr>
          <w:p w:rsidR="00F65813" w:rsidRDefault="00F65813">
            <w:pPr>
              <w:spacing w:after="0"/>
              <w:jc w:val="center"/>
              <w:rPr>
                <w:sz w:val="18"/>
                <w:szCs w:val="18"/>
              </w:rPr>
            </w:pPr>
          </w:p>
        </w:tc>
      </w:tr>
      <w:tr w:rsidR="00F65813">
        <w:trPr>
          <w:trHeight w:val="510"/>
          <w:jc w:val="center"/>
        </w:trPr>
        <w:tc>
          <w:tcPr>
            <w:tcW w:w="2840" w:type="dxa"/>
            <w:gridSpan w:val="2"/>
            <w:vAlign w:val="center"/>
          </w:tcPr>
          <w:p w:rsidR="00F65813" w:rsidRDefault="00EB0B4C">
            <w:pPr>
              <w:spacing w:after="0"/>
              <w:jc w:val="center"/>
              <w:rPr>
                <w:sz w:val="18"/>
                <w:szCs w:val="18"/>
              </w:rPr>
            </w:pPr>
            <w:r>
              <w:rPr>
                <w:rFonts w:hint="eastAsia"/>
                <w:sz w:val="18"/>
                <w:szCs w:val="18"/>
              </w:rPr>
              <w:t>单位</w:t>
            </w:r>
          </w:p>
        </w:tc>
        <w:tc>
          <w:tcPr>
            <w:tcW w:w="5682" w:type="dxa"/>
            <w:gridSpan w:val="5"/>
          </w:tcPr>
          <w:p w:rsidR="00F65813" w:rsidRDefault="00F65813">
            <w:pPr>
              <w:spacing w:after="0"/>
              <w:jc w:val="center"/>
              <w:rPr>
                <w:sz w:val="18"/>
                <w:szCs w:val="18"/>
              </w:rPr>
            </w:pPr>
          </w:p>
        </w:tc>
      </w:tr>
      <w:tr w:rsidR="00F65813">
        <w:trPr>
          <w:trHeight w:val="510"/>
          <w:jc w:val="center"/>
        </w:trPr>
        <w:tc>
          <w:tcPr>
            <w:tcW w:w="786" w:type="dxa"/>
            <w:vAlign w:val="center"/>
          </w:tcPr>
          <w:p w:rsidR="00F65813" w:rsidRDefault="00EB0B4C">
            <w:pPr>
              <w:spacing w:after="0"/>
              <w:jc w:val="center"/>
              <w:rPr>
                <w:sz w:val="18"/>
                <w:szCs w:val="18"/>
              </w:rPr>
            </w:pPr>
            <w:r>
              <w:rPr>
                <w:rFonts w:hint="eastAsia"/>
                <w:sz w:val="18"/>
                <w:szCs w:val="18"/>
              </w:rPr>
              <w:t>序号</w:t>
            </w:r>
          </w:p>
        </w:tc>
        <w:tc>
          <w:tcPr>
            <w:tcW w:w="2054" w:type="dxa"/>
            <w:vAlign w:val="center"/>
          </w:tcPr>
          <w:p w:rsidR="00F65813" w:rsidRDefault="00EB0B4C">
            <w:pPr>
              <w:spacing w:after="0"/>
              <w:jc w:val="center"/>
              <w:rPr>
                <w:sz w:val="18"/>
                <w:szCs w:val="18"/>
              </w:rPr>
            </w:pPr>
            <w:r>
              <w:rPr>
                <w:rFonts w:hint="eastAsia"/>
                <w:sz w:val="18"/>
                <w:szCs w:val="18"/>
              </w:rPr>
              <w:t>设备材料名称</w:t>
            </w:r>
          </w:p>
        </w:tc>
        <w:tc>
          <w:tcPr>
            <w:tcW w:w="1559" w:type="dxa"/>
            <w:gridSpan w:val="2"/>
            <w:vAlign w:val="center"/>
          </w:tcPr>
          <w:p w:rsidR="00F65813" w:rsidRDefault="00EB0B4C">
            <w:pPr>
              <w:spacing w:after="0"/>
              <w:jc w:val="center"/>
              <w:rPr>
                <w:sz w:val="18"/>
                <w:szCs w:val="18"/>
              </w:rPr>
            </w:pPr>
            <w:r>
              <w:rPr>
                <w:rFonts w:hint="eastAsia"/>
                <w:sz w:val="18"/>
                <w:szCs w:val="18"/>
              </w:rPr>
              <w:t>规格型号</w:t>
            </w:r>
          </w:p>
        </w:tc>
        <w:tc>
          <w:tcPr>
            <w:tcW w:w="1637" w:type="dxa"/>
            <w:vAlign w:val="center"/>
          </w:tcPr>
          <w:p w:rsidR="00F65813" w:rsidRDefault="00EB0B4C">
            <w:pPr>
              <w:spacing w:after="0"/>
              <w:jc w:val="center"/>
              <w:rPr>
                <w:sz w:val="18"/>
                <w:szCs w:val="18"/>
              </w:rPr>
            </w:pPr>
            <w:r>
              <w:rPr>
                <w:rFonts w:hint="eastAsia"/>
                <w:sz w:val="18"/>
                <w:szCs w:val="18"/>
              </w:rPr>
              <w:t>单位</w:t>
            </w:r>
          </w:p>
        </w:tc>
        <w:tc>
          <w:tcPr>
            <w:tcW w:w="1065" w:type="dxa"/>
            <w:vAlign w:val="center"/>
          </w:tcPr>
          <w:p w:rsidR="00F65813" w:rsidRDefault="00EB0B4C">
            <w:pPr>
              <w:spacing w:after="0"/>
              <w:jc w:val="center"/>
              <w:rPr>
                <w:sz w:val="18"/>
                <w:szCs w:val="18"/>
              </w:rPr>
            </w:pPr>
            <w:r>
              <w:rPr>
                <w:rFonts w:hint="eastAsia"/>
                <w:sz w:val="18"/>
                <w:szCs w:val="18"/>
              </w:rPr>
              <w:t>数量</w:t>
            </w:r>
          </w:p>
        </w:tc>
        <w:tc>
          <w:tcPr>
            <w:tcW w:w="1421" w:type="dxa"/>
            <w:vAlign w:val="center"/>
          </w:tcPr>
          <w:p w:rsidR="00F65813" w:rsidRDefault="00EB0B4C">
            <w:pPr>
              <w:spacing w:after="0"/>
              <w:jc w:val="center"/>
              <w:rPr>
                <w:sz w:val="18"/>
                <w:szCs w:val="18"/>
              </w:rPr>
            </w:pPr>
            <w:r>
              <w:rPr>
                <w:rFonts w:hint="eastAsia"/>
                <w:sz w:val="18"/>
                <w:szCs w:val="18"/>
              </w:rPr>
              <w:t>备注</w:t>
            </w: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786" w:type="dxa"/>
          </w:tcPr>
          <w:p w:rsidR="00F65813" w:rsidRDefault="00F65813">
            <w:pPr>
              <w:spacing w:after="0"/>
              <w:jc w:val="center"/>
              <w:rPr>
                <w:sz w:val="18"/>
                <w:szCs w:val="18"/>
              </w:rPr>
            </w:pPr>
          </w:p>
        </w:tc>
        <w:tc>
          <w:tcPr>
            <w:tcW w:w="2054" w:type="dxa"/>
          </w:tcPr>
          <w:p w:rsidR="00F65813" w:rsidRDefault="00F65813">
            <w:pPr>
              <w:spacing w:after="0"/>
              <w:jc w:val="center"/>
              <w:rPr>
                <w:sz w:val="18"/>
                <w:szCs w:val="18"/>
              </w:rPr>
            </w:pPr>
          </w:p>
        </w:tc>
        <w:tc>
          <w:tcPr>
            <w:tcW w:w="1559" w:type="dxa"/>
            <w:gridSpan w:val="2"/>
          </w:tcPr>
          <w:p w:rsidR="00F65813" w:rsidRDefault="00F65813">
            <w:pPr>
              <w:spacing w:after="0"/>
              <w:jc w:val="center"/>
              <w:rPr>
                <w:sz w:val="18"/>
                <w:szCs w:val="18"/>
              </w:rPr>
            </w:pPr>
          </w:p>
        </w:tc>
        <w:tc>
          <w:tcPr>
            <w:tcW w:w="1637" w:type="dxa"/>
          </w:tcPr>
          <w:p w:rsidR="00F65813" w:rsidRDefault="00F65813">
            <w:pPr>
              <w:spacing w:after="0"/>
              <w:jc w:val="center"/>
              <w:rPr>
                <w:sz w:val="18"/>
                <w:szCs w:val="18"/>
              </w:rPr>
            </w:pPr>
          </w:p>
        </w:tc>
        <w:tc>
          <w:tcPr>
            <w:tcW w:w="1065" w:type="dxa"/>
          </w:tcPr>
          <w:p w:rsidR="00F65813" w:rsidRDefault="00F65813">
            <w:pPr>
              <w:spacing w:after="0"/>
              <w:jc w:val="center"/>
              <w:rPr>
                <w:sz w:val="18"/>
                <w:szCs w:val="18"/>
              </w:rPr>
            </w:pPr>
          </w:p>
        </w:tc>
        <w:tc>
          <w:tcPr>
            <w:tcW w:w="1421" w:type="dxa"/>
          </w:tcPr>
          <w:p w:rsidR="00F65813" w:rsidRDefault="00F65813">
            <w:pPr>
              <w:spacing w:after="0"/>
              <w:jc w:val="center"/>
              <w:rPr>
                <w:sz w:val="18"/>
                <w:szCs w:val="18"/>
              </w:rPr>
            </w:pPr>
          </w:p>
        </w:tc>
      </w:tr>
      <w:tr w:rsidR="00F65813">
        <w:trPr>
          <w:trHeight w:val="510"/>
          <w:jc w:val="center"/>
        </w:trPr>
        <w:tc>
          <w:tcPr>
            <w:tcW w:w="8522" w:type="dxa"/>
            <w:gridSpan w:val="7"/>
            <w:vAlign w:val="center"/>
          </w:tcPr>
          <w:p w:rsidR="00F65813" w:rsidRDefault="00EB0B4C">
            <w:pPr>
              <w:spacing w:after="0"/>
              <w:ind w:firstLineChars="200" w:firstLine="360"/>
              <w:rPr>
                <w:sz w:val="18"/>
                <w:szCs w:val="18"/>
              </w:rPr>
            </w:pPr>
            <w:r>
              <w:rPr>
                <w:rFonts w:hint="eastAsia"/>
                <w:sz w:val="18"/>
                <w:szCs w:val="18"/>
              </w:rPr>
              <w:t>注：表中设备材料名称应包含灯具设备、箱变、配电柜、控制箱及电缆等内容。</w:t>
            </w:r>
          </w:p>
        </w:tc>
      </w:tr>
      <w:tr w:rsidR="00F65813">
        <w:trPr>
          <w:trHeight w:val="510"/>
          <w:jc w:val="center"/>
        </w:trPr>
        <w:tc>
          <w:tcPr>
            <w:tcW w:w="4260" w:type="dxa"/>
            <w:gridSpan w:val="3"/>
            <w:vAlign w:val="center"/>
          </w:tcPr>
          <w:p w:rsidR="00F65813" w:rsidRDefault="00EB0B4C">
            <w:pPr>
              <w:spacing w:after="0"/>
              <w:rPr>
                <w:sz w:val="18"/>
                <w:szCs w:val="18"/>
              </w:rPr>
            </w:pPr>
            <w:r>
              <w:rPr>
                <w:rFonts w:hint="eastAsia"/>
                <w:sz w:val="18"/>
                <w:szCs w:val="18"/>
              </w:rPr>
              <w:t>填表人：</w:t>
            </w:r>
          </w:p>
        </w:tc>
        <w:tc>
          <w:tcPr>
            <w:tcW w:w="4262" w:type="dxa"/>
            <w:gridSpan w:val="4"/>
            <w:vAlign w:val="center"/>
          </w:tcPr>
          <w:p w:rsidR="00F65813" w:rsidRDefault="00EB0B4C">
            <w:pPr>
              <w:spacing w:after="0"/>
              <w:rPr>
                <w:sz w:val="18"/>
                <w:szCs w:val="18"/>
              </w:rPr>
            </w:pPr>
            <w:r>
              <w:rPr>
                <w:rFonts w:hint="eastAsia"/>
                <w:sz w:val="18"/>
                <w:szCs w:val="18"/>
              </w:rPr>
              <w:t>归档日期：年月日</w:t>
            </w:r>
          </w:p>
        </w:tc>
      </w:tr>
    </w:tbl>
    <w:p w:rsidR="00F65813" w:rsidRDefault="00F65813">
      <w:pPr>
        <w:jc w:val="center"/>
        <w:sectPr w:rsidR="00F65813">
          <w:footnotePr>
            <w:numRestart w:val="eachPage"/>
          </w:footnotePr>
          <w:pgSz w:w="11906" w:h="16838"/>
          <w:pgMar w:top="567" w:right="1134" w:bottom="1134" w:left="1418" w:header="1418" w:footer="1134" w:gutter="0"/>
          <w:cols w:space="425"/>
          <w:formProt w:val="0"/>
          <w:docGrid w:type="lines" w:linePitch="312"/>
        </w:sectPr>
      </w:pPr>
    </w:p>
    <w:p w:rsidR="00F65813" w:rsidRDefault="00EB0B4C">
      <w:pPr>
        <w:jc w:val="center"/>
        <w:outlineLvl w:val="2"/>
        <w:rPr>
          <w:rFonts w:ascii="黑体" w:eastAsia="黑体" w:hAnsi="黑体"/>
          <w:bCs/>
        </w:rPr>
      </w:pPr>
      <w:bookmarkStart w:id="247" w:name="_Toc52354347"/>
      <w:bookmarkStart w:id="248" w:name="_Toc52361186"/>
      <w:bookmarkStart w:id="249" w:name="_Toc57194697"/>
      <w:bookmarkStart w:id="250" w:name="_Toc71206606"/>
      <w:bookmarkStart w:id="251" w:name="_Toc57036657"/>
      <w:bookmarkStart w:id="252" w:name="_Toc56416290"/>
      <w:r>
        <w:rPr>
          <w:rFonts w:ascii="黑体" w:eastAsia="黑体" w:hAnsi="黑体" w:hint="eastAsia"/>
          <w:bCs/>
        </w:rPr>
        <w:lastRenderedPageBreak/>
        <w:t>表</w:t>
      </w:r>
      <w:r>
        <w:rPr>
          <w:rFonts w:ascii="黑体" w:eastAsia="黑体" w:hAnsi="黑体"/>
          <w:bCs/>
        </w:rPr>
        <w:t xml:space="preserve">B.3  </w:t>
      </w:r>
      <w:r>
        <w:rPr>
          <w:rFonts w:ascii="黑体" w:eastAsia="黑体" w:hAnsi="黑体" w:hint="eastAsia"/>
          <w:bCs/>
        </w:rPr>
        <w:t>灯具更换记录表</w:t>
      </w:r>
      <w:bookmarkEnd w:id="247"/>
      <w:bookmarkEnd w:id="248"/>
      <w:bookmarkEnd w:id="249"/>
      <w:bookmarkEnd w:id="250"/>
      <w:bookmarkEnd w:id="251"/>
      <w:bookmarkEnd w:id="25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20"/>
        <w:gridCol w:w="304"/>
        <w:gridCol w:w="1950"/>
        <w:gridCol w:w="450"/>
        <w:gridCol w:w="136"/>
        <w:gridCol w:w="789"/>
        <w:gridCol w:w="1100"/>
        <w:gridCol w:w="237"/>
        <w:gridCol w:w="925"/>
        <w:gridCol w:w="1211"/>
      </w:tblGrid>
      <w:tr w:rsidR="00F65813">
        <w:trPr>
          <w:trHeight w:val="420"/>
          <w:jc w:val="center"/>
        </w:trPr>
        <w:tc>
          <w:tcPr>
            <w:tcW w:w="1420" w:type="dxa"/>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工程名称</w:t>
            </w:r>
          </w:p>
        </w:tc>
        <w:tc>
          <w:tcPr>
            <w:tcW w:w="7102" w:type="dxa"/>
            <w:gridSpan w:val="9"/>
          </w:tcPr>
          <w:p w:rsidR="00F65813" w:rsidRDefault="00F65813">
            <w:pPr>
              <w:spacing w:after="0"/>
              <w:jc w:val="center"/>
              <w:rPr>
                <w:rFonts w:asciiTheme="minorEastAsia" w:eastAsiaTheme="minorEastAsia" w:hAnsiTheme="minorEastAsia"/>
                <w:sz w:val="18"/>
                <w:szCs w:val="18"/>
              </w:rPr>
            </w:pPr>
          </w:p>
        </w:tc>
      </w:tr>
      <w:tr w:rsidR="00F65813">
        <w:trPr>
          <w:trHeight w:val="420"/>
          <w:jc w:val="center"/>
        </w:trPr>
        <w:tc>
          <w:tcPr>
            <w:tcW w:w="1420" w:type="dxa"/>
            <w:vMerge w:val="restart"/>
            <w:textDirection w:val="tbRlV"/>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灯具</w:t>
            </w:r>
          </w:p>
        </w:tc>
        <w:tc>
          <w:tcPr>
            <w:tcW w:w="7102" w:type="dxa"/>
            <w:gridSpan w:val="9"/>
            <w:vAlign w:val="center"/>
          </w:tcPr>
          <w:p w:rsidR="00F65813" w:rsidRDefault="00EB0B4C">
            <w:pPr>
              <w:spacing w:after="0"/>
              <w:jc w:val="left"/>
              <w:rPr>
                <w:rFonts w:asciiTheme="minorEastAsia" w:eastAsiaTheme="minorEastAsia" w:hAnsiTheme="minorEastAsia"/>
                <w:sz w:val="18"/>
                <w:szCs w:val="18"/>
              </w:rPr>
            </w:pPr>
            <w:r>
              <w:rPr>
                <w:rFonts w:asciiTheme="minorEastAsia" w:eastAsiaTheme="minorEastAsia" w:hAnsiTheme="minorEastAsia" w:hint="eastAsia"/>
                <w:sz w:val="18"/>
                <w:szCs w:val="18"/>
              </w:rPr>
              <w:t>型号：</w:t>
            </w:r>
          </w:p>
          <w:p w:rsidR="00F65813" w:rsidRDefault="00F65813">
            <w:pPr>
              <w:spacing w:after="0"/>
              <w:jc w:val="left"/>
              <w:rPr>
                <w:rFonts w:asciiTheme="minorEastAsia" w:eastAsiaTheme="minorEastAsia" w:hAnsiTheme="minorEastAsia"/>
                <w:sz w:val="18"/>
                <w:szCs w:val="18"/>
              </w:rPr>
            </w:pPr>
          </w:p>
        </w:tc>
      </w:tr>
      <w:tr w:rsidR="00F65813">
        <w:trPr>
          <w:trHeight w:val="420"/>
          <w:jc w:val="center"/>
        </w:trPr>
        <w:tc>
          <w:tcPr>
            <w:tcW w:w="1420" w:type="dxa"/>
            <w:vMerge/>
          </w:tcPr>
          <w:p w:rsidR="00F65813" w:rsidRDefault="00F65813">
            <w:pPr>
              <w:spacing w:after="0"/>
              <w:jc w:val="center"/>
              <w:rPr>
                <w:rFonts w:asciiTheme="minorEastAsia" w:eastAsiaTheme="minorEastAsia" w:hAnsiTheme="minorEastAsia"/>
                <w:sz w:val="18"/>
                <w:szCs w:val="18"/>
              </w:rPr>
            </w:pPr>
          </w:p>
        </w:tc>
        <w:tc>
          <w:tcPr>
            <w:tcW w:w="7102" w:type="dxa"/>
            <w:gridSpan w:val="9"/>
            <w:vAlign w:val="center"/>
          </w:tcPr>
          <w:p w:rsidR="00F65813" w:rsidRDefault="00EB0B4C">
            <w:pPr>
              <w:spacing w:after="0"/>
              <w:jc w:val="left"/>
              <w:rPr>
                <w:rFonts w:asciiTheme="minorEastAsia" w:eastAsiaTheme="minorEastAsia" w:hAnsiTheme="minorEastAsia"/>
                <w:sz w:val="18"/>
                <w:szCs w:val="18"/>
              </w:rPr>
            </w:pPr>
            <w:r>
              <w:rPr>
                <w:rFonts w:asciiTheme="minorEastAsia" w:eastAsiaTheme="minorEastAsia" w:hAnsiTheme="minorEastAsia" w:hint="eastAsia"/>
                <w:sz w:val="18"/>
                <w:szCs w:val="18"/>
              </w:rPr>
              <w:t>外壳材质：</w:t>
            </w:r>
          </w:p>
          <w:p w:rsidR="00F65813" w:rsidRDefault="00F65813">
            <w:pPr>
              <w:spacing w:after="0"/>
              <w:jc w:val="left"/>
              <w:rPr>
                <w:rFonts w:asciiTheme="minorEastAsia" w:eastAsiaTheme="minorEastAsia" w:hAnsiTheme="minorEastAsia"/>
                <w:sz w:val="18"/>
                <w:szCs w:val="18"/>
              </w:rPr>
            </w:pPr>
          </w:p>
        </w:tc>
      </w:tr>
      <w:tr w:rsidR="00F65813">
        <w:trPr>
          <w:trHeight w:val="420"/>
          <w:jc w:val="center"/>
        </w:trPr>
        <w:tc>
          <w:tcPr>
            <w:tcW w:w="1420" w:type="dxa"/>
            <w:vMerge/>
          </w:tcPr>
          <w:p w:rsidR="00F65813" w:rsidRDefault="00F65813">
            <w:pPr>
              <w:spacing w:after="0"/>
              <w:jc w:val="center"/>
              <w:rPr>
                <w:rFonts w:asciiTheme="minorEastAsia" w:eastAsiaTheme="minorEastAsia" w:hAnsiTheme="minorEastAsia"/>
                <w:sz w:val="18"/>
                <w:szCs w:val="18"/>
              </w:rPr>
            </w:pPr>
          </w:p>
        </w:tc>
        <w:tc>
          <w:tcPr>
            <w:tcW w:w="7102" w:type="dxa"/>
            <w:gridSpan w:val="9"/>
            <w:vAlign w:val="center"/>
          </w:tcPr>
          <w:p w:rsidR="00F65813" w:rsidRDefault="00EB0B4C">
            <w:pPr>
              <w:spacing w:after="0"/>
              <w:jc w:val="left"/>
              <w:rPr>
                <w:rFonts w:asciiTheme="minorEastAsia" w:eastAsiaTheme="minorEastAsia" w:hAnsiTheme="minorEastAsia"/>
                <w:sz w:val="18"/>
                <w:szCs w:val="18"/>
              </w:rPr>
            </w:pPr>
            <w:r>
              <w:rPr>
                <w:rFonts w:asciiTheme="minorEastAsia" w:eastAsiaTheme="minorEastAsia" w:hAnsiTheme="minorEastAsia" w:hint="eastAsia"/>
                <w:sz w:val="18"/>
                <w:szCs w:val="18"/>
              </w:rPr>
              <w:t>配光：</w:t>
            </w:r>
          </w:p>
          <w:p w:rsidR="00F65813" w:rsidRDefault="00F65813">
            <w:pPr>
              <w:spacing w:after="0"/>
              <w:jc w:val="left"/>
              <w:rPr>
                <w:rFonts w:asciiTheme="minorEastAsia" w:eastAsiaTheme="minorEastAsia" w:hAnsiTheme="minorEastAsia"/>
                <w:sz w:val="18"/>
                <w:szCs w:val="18"/>
              </w:rPr>
            </w:pPr>
          </w:p>
        </w:tc>
      </w:tr>
      <w:tr w:rsidR="00F65813">
        <w:trPr>
          <w:trHeight w:val="420"/>
          <w:jc w:val="center"/>
        </w:trPr>
        <w:tc>
          <w:tcPr>
            <w:tcW w:w="1420" w:type="dxa"/>
            <w:vMerge/>
          </w:tcPr>
          <w:p w:rsidR="00F65813" w:rsidRDefault="00F65813">
            <w:pPr>
              <w:spacing w:after="0"/>
              <w:jc w:val="center"/>
              <w:rPr>
                <w:rFonts w:asciiTheme="minorEastAsia" w:eastAsiaTheme="minorEastAsia" w:hAnsiTheme="minorEastAsia"/>
                <w:sz w:val="18"/>
                <w:szCs w:val="18"/>
              </w:rPr>
            </w:pPr>
          </w:p>
        </w:tc>
        <w:tc>
          <w:tcPr>
            <w:tcW w:w="7102" w:type="dxa"/>
            <w:gridSpan w:val="9"/>
            <w:vAlign w:val="center"/>
          </w:tcPr>
          <w:p w:rsidR="00F65813" w:rsidRDefault="00EB0B4C">
            <w:pPr>
              <w:spacing w:after="0"/>
              <w:jc w:val="left"/>
              <w:rPr>
                <w:rFonts w:asciiTheme="minorEastAsia" w:eastAsiaTheme="minorEastAsia" w:hAnsiTheme="minorEastAsia"/>
                <w:sz w:val="18"/>
                <w:szCs w:val="18"/>
              </w:rPr>
            </w:pPr>
            <w:r>
              <w:rPr>
                <w:rFonts w:asciiTheme="minorEastAsia" w:eastAsiaTheme="minorEastAsia" w:hAnsiTheme="minorEastAsia" w:hint="eastAsia"/>
                <w:sz w:val="18"/>
                <w:szCs w:val="18"/>
              </w:rPr>
              <w:t>电器附件：</w:t>
            </w:r>
          </w:p>
          <w:p w:rsidR="00F65813" w:rsidRDefault="00F65813">
            <w:pPr>
              <w:spacing w:after="0"/>
              <w:jc w:val="left"/>
              <w:rPr>
                <w:rFonts w:asciiTheme="minorEastAsia" w:eastAsiaTheme="minorEastAsia" w:hAnsiTheme="minorEastAsia"/>
                <w:sz w:val="18"/>
                <w:szCs w:val="18"/>
              </w:rPr>
            </w:pPr>
          </w:p>
        </w:tc>
      </w:tr>
      <w:tr w:rsidR="00F65813">
        <w:trPr>
          <w:trHeight w:val="420"/>
          <w:jc w:val="center"/>
        </w:trPr>
        <w:tc>
          <w:tcPr>
            <w:tcW w:w="1420" w:type="dxa"/>
            <w:vMerge/>
          </w:tcPr>
          <w:p w:rsidR="00F65813" w:rsidRDefault="00F65813">
            <w:pPr>
              <w:spacing w:after="0"/>
              <w:jc w:val="center"/>
              <w:rPr>
                <w:rFonts w:asciiTheme="minorEastAsia" w:eastAsiaTheme="minorEastAsia" w:hAnsiTheme="minorEastAsia"/>
                <w:sz w:val="18"/>
                <w:szCs w:val="18"/>
              </w:rPr>
            </w:pPr>
          </w:p>
        </w:tc>
        <w:tc>
          <w:tcPr>
            <w:tcW w:w="7102" w:type="dxa"/>
            <w:gridSpan w:val="9"/>
            <w:vAlign w:val="center"/>
          </w:tcPr>
          <w:p w:rsidR="00F65813" w:rsidRDefault="00EB0B4C">
            <w:pPr>
              <w:spacing w:after="0"/>
              <w:jc w:val="left"/>
              <w:rPr>
                <w:rFonts w:asciiTheme="minorEastAsia" w:eastAsiaTheme="minorEastAsia" w:hAnsiTheme="minorEastAsia"/>
                <w:sz w:val="18"/>
                <w:szCs w:val="18"/>
              </w:rPr>
            </w:pPr>
            <w:r>
              <w:rPr>
                <w:rFonts w:asciiTheme="minorEastAsia" w:eastAsiaTheme="minorEastAsia" w:hAnsiTheme="minorEastAsia" w:hint="eastAsia"/>
                <w:sz w:val="18"/>
                <w:szCs w:val="18"/>
              </w:rPr>
              <w:t>功率（</w:t>
            </w:r>
            <w:r>
              <w:rPr>
                <w:rFonts w:asciiTheme="minorEastAsia" w:eastAsiaTheme="minorEastAsia" w:hAnsiTheme="minorEastAsia"/>
                <w:sz w:val="18"/>
                <w:szCs w:val="18"/>
              </w:rPr>
              <w:t>W</w:t>
            </w:r>
            <w:r>
              <w:rPr>
                <w:rFonts w:asciiTheme="minorEastAsia" w:eastAsiaTheme="minorEastAsia" w:hAnsiTheme="minorEastAsia" w:hint="eastAsia"/>
                <w:sz w:val="18"/>
                <w:szCs w:val="18"/>
              </w:rPr>
              <w:t>）：</w:t>
            </w:r>
          </w:p>
          <w:p w:rsidR="00F65813" w:rsidRDefault="00F65813">
            <w:pPr>
              <w:spacing w:after="0"/>
              <w:jc w:val="left"/>
              <w:rPr>
                <w:rFonts w:asciiTheme="minorEastAsia" w:eastAsiaTheme="minorEastAsia" w:hAnsiTheme="minorEastAsia"/>
                <w:sz w:val="18"/>
                <w:szCs w:val="18"/>
              </w:rPr>
            </w:pPr>
          </w:p>
        </w:tc>
      </w:tr>
      <w:tr w:rsidR="00F65813">
        <w:trPr>
          <w:trHeight w:val="420"/>
          <w:jc w:val="center"/>
        </w:trPr>
        <w:tc>
          <w:tcPr>
            <w:tcW w:w="1420" w:type="dxa"/>
            <w:vMerge/>
          </w:tcPr>
          <w:p w:rsidR="00F65813" w:rsidRDefault="00F65813">
            <w:pPr>
              <w:spacing w:after="0"/>
              <w:jc w:val="center"/>
              <w:rPr>
                <w:rFonts w:asciiTheme="minorEastAsia" w:eastAsiaTheme="minorEastAsia" w:hAnsiTheme="minorEastAsia"/>
                <w:sz w:val="18"/>
                <w:szCs w:val="18"/>
              </w:rPr>
            </w:pPr>
          </w:p>
        </w:tc>
        <w:tc>
          <w:tcPr>
            <w:tcW w:w="7102" w:type="dxa"/>
            <w:gridSpan w:val="9"/>
            <w:vAlign w:val="center"/>
          </w:tcPr>
          <w:p w:rsidR="00F65813" w:rsidRDefault="00EB0B4C">
            <w:pPr>
              <w:spacing w:after="0"/>
              <w:jc w:val="left"/>
              <w:rPr>
                <w:rFonts w:asciiTheme="minorEastAsia" w:eastAsiaTheme="minorEastAsia" w:hAnsiTheme="minorEastAsia"/>
                <w:sz w:val="18"/>
                <w:szCs w:val="18"/>
              </w:rPr>
            </w:pPr>
            <w:r>
              <w:rPr>
                <w:rFonts w:asciiTheme="minorEastAsia" w:eastAsiaTheme="minorEastAsia" w:hAnsiTheme="minorEastAsia" w:hint="eastAsia"/>
                <w:sz w:val="18"/>
                <w:szCs w:val="18"/>
              </w:rPr>
              <w:t>生产厂家：</w:t>
            </w:r>
          </w:p>
          <w:p w:rsidR="00F65813" w:rsidRDefault="00F65813">
            <w:pPr>
              <w:spacing w:after="0"/>
              <w:jc w:val="left"/>
              <w:rPr>
                <w:rFonts w:asciiTheme="minorEastAsia" w:eastAsiaTheme="minorEastAsia" w:hAnsiTheme="minorEastAsia"/>
                <w:sz w:val="18"/>
                <w:szCs w:val="18"/>
              </w:rPr>
            </w:pPr>
          </w:p>
        </w:tc>
      </w:tr>
      <w:tr w:rsidR="00F65813">
        <w:trPr>
          <w:trHeight w:val="571"/>
          <w:jc w:val="center"/>
        </w:trPr>
        <w:tc>
          <w:tcPr>
            <w:tcW w:w="1420" w:type="dxa"/>
            <w:vMerge w:val="restart"/>
            <w:textDirection w:val="tbRlV"/>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光源</w:t>
            </w:r>
          </w:p>
        </w:tc>
        <w:tc>
          <w:tcPr>
            <w:tcW w:w="2254" w:type="dxa"/>
            <w:gridSpan w:val="2"/>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类型</w:t>
            </w:r>
          </w:p>
          <w:p w:rsidR="00F65813" w:rsidRDefault="00F65813">
            <w:pPr>
              <w:spacing w:after="0"/>
              <w:jc w:val="center"/>
              <w:rPr>
                <w:rFonts w:asciiTheme="minorEastAsia" w:eastAsiaTheme="minorEastAsia" w:hAnsiTheme="minorEastAsia"/>
                <w:sz w:val="18"/>
                <w:szCs w:val="18"/>
              </w:rPr>
            </w:pPr>
          </w:p>
        </w:tc>
        <w:tc>
          <w:tcPr>
            <w:tcW w:w="2712" w:type="dxa"/>
            <w:gridSpan w:val="5"/>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功率（</w:t>
            </w:r>
            <w:r>
              <w:rPr>
                <w:rFonts w:asciiTheme="minorEastAsia" w:eastAsiaTheme="minorEastAsia" w:hAnsiTheme="minorEastAsia"/>
                <w:sz w:val="18"/>
                <w:szCs w:val="18"/>
              </w:rPr>
              <w:t>W</w:t>
            </w:r>
            <w:r>
              <w:rPr>
                <w:rFonts w:asciiTheme="minorEastAsia" w:eastAsiaTheme="minorEastAsia" w:hAnsiTheme="minorEastAsia" w:hint="eastAsia"/>
                <w:sz w:val="18"/>
                <w:szCs w:val="18"/>
              </w:rPr>
              <w:t>）</w:t>
            </w:r>
          </w:p>
          <w:p w:rsidR="00F65813" w:rsidRDefault="00F65813">
            <w:pPr>
              <w:spacing w:after="0"/>
              <w:jc w:val="center"/>
              <w:rPr>
                <w:rFonts w:asciiTheme="minorEastAsia" w:eastAsiaTheme="minorEastAsia" w:hAnsiTheme="minorEastAsia"/>
                <w:sz w:val="18"/>
                <w:szCs w:val="18"/>
              </w:rPr>
            </w:pPr>
          </w:p>
        </w:tc>
        <w:tc>
          <w:tcPr>
            <w:tcW w:w="2136" w:type="dxa"/>
            <w:gridSpan w:val="2"/>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额定寿命（</w:t>
            </w:r>
            <w:r>
              <w:rPr>
                <w:rFonts w:asciiTheme="minorEastAsia" w:eastAsiaTheme="minorEastAsia" w:hAnsiTheme="minorEastAsia"/>
                <w:sz w:val="18"/>
                <w:szCs w:val="18"/>
              </w:rPr>
              <w:t>h</w:t>
            </w:r>
            <w:r>
              <w:rPr>
                <w:rFonts w:asciiTheme="minorEastAsia" w:eastAsiaTheme="minorEastAsia" w:hAnsiTheme="minorEastAsia" w:hint="eastAsia"/>
                <w:sz w:val="18"/>
                <w:szCs w:val="18"/>
              </w:rPr>
              <w:t>）</w:t>
            </w:r>
          </w:p>
          <w:p w:rsidR="00F65813" w:rsidRDefault="00F65813">
            <w:pPr>
              <w:spacing w:after="0"/>
              <w:jc w:val="center"/>
              <w:rPr>
                <w:rFonts w:asciiTheme="minorEastAsia" w:eastAsiaTheme="minorEastAsia" w:hAnsiTheme="minorEastAsia"/>
                <w:sz w:val="18"/>
                <w:szCs w:val="18"/>
              </w:rPr>
            </w:pPr>
          </w:p>
        </w:tc>
      </w:tr>
      <w:tr w:rsidR="00F65813">
        <w:trPr>
          <w:trHeight w:val="578"/>
          <w:jc w:val="center"/>
        </w:trPr>
        <w:tc>
          <w:tcPr>
            <w:tcW w:w="1420" w:type="dxa"/>
            <w:vMerge/>
          </w:tcPr>
          <w:p w:rsidR="00F65813" w:rsidRDefault="00F65813">
            <w:pPr>
              <w:spacing w:after="0"/>
              <w:jc w:val="center"/>
              <w:rPr>
                <w:rFonts w:asciiTheme="minorEastAsia" w:eastAsiaTheme="minorEastAsia" w:hAnsiTheme="minorEastAsia"/>
                <w:sz w:val="18"/>
                <w:szCs w:val="18"/>
              </w:rPr>
            </w:pPr>
          </w:p>
        </w:tc>
        <w:tc>
          <w:tcPr>
            <w:tcW w:w="2254" w:type="dxa"/>
            <w:gridSpan w:val="2"/>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型号</w:t>
            </w:r>
          </w:p>
          <w:p w:rsidR="00F65813" w:rsidRDefault="00F65813">
            <w:pPr>
              <w:spacing w:after="0"/>
              <w:jc w:val="center"/>
              <w:rPr>
                <w:rFonts w:asciiTheme="minorEastAsia" w:eastAsiaTheme="minorEastAsia" w:hAnsiTheme="minorEastAsia"/>
                <w:sz w:val="18"/>
                <w:szCs w:val="18"/>
              </w:rPr>
            </w:pPr>
          </w:p>
        </w:tc>
        <w:tc>
          <w:tcPr>
            <w:tcW w:w="2712" w:type="dxa"/>
            <w:gridSpan w:val="5"/>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色温（</w:t>
            </w:r>
            <w:r>
              <w:rPr>
                <w:rFonts w:asciiTheme="minorEastAsia" w:eastAsiaTheme="minorEastAsia" w:hAnsiTheme="minorEastAsia"/>
                <w:sz w:val="18"/>
                <w:szCs w:val="18"/>
              </w:rPr>
              <w:t>K</w:t>
            </w:r>
            <w:r>
              <w:rPr>
                <w:rFonts w:asciiTheme="minorEastAsia" w:eastAsiaTheme="minorEastAsia" w:hAnsiTheme="minorEastAsia" w:hint="eastAsia"/>
                <w:sz w:val="18"/>
                <w:szCs w:val="18"/>
              </w:rPr>
              <w:t>）</w:t>
            </w:r>
          </w:p>
          <w:p w:rsidR="00F65813" w:rsidRDefault="00F65813">
            <w:pPr>
              <w:spacing w:after="0"/>
              <w:jc w:val="center"/>
              <w:rPr>
                <w:rFonts w:asciiTheme="minorEastAsia" w:eastAsiaTheme="minorEastAsia" w:hAnsiTheme="minorEastAsia"/>
                <w:sz w:val="18"/>
                <w:szCs w:val="18"/>
              </w:rPr>
            </w:pPr>
          </w:p>
        </w:tc>
        <w:tc>
          <w:tcPr>
            <w:tcW w:w="2136" w:type="dxa"/>
            <w:gridSpan w:val="2"/>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显色性</w:t>
            </w:r>
            <w:r>
              <w:rPr>
                <w:rFonts w:asciiTheme="minorEastAsia" w:eastAsiaTheme="minorEastAsia" w:hAnsiTheme="minorEastAsia"/>
                <w:i/>
                <w:iCs/>
                <w:sz w:val="18"/>
                <w:szCs w:val="18"/>
              </w:rPr>
              <w:t>R</w:t>
            </w:r>
            <w:r>
              <w:rPr>
                <w:rFonts w:asciiTheme="minorEastAsia" w:eastAsiaTheme="minorEastAsia" w:hAnsiTheme="minorEastAsia"/>
                <w:sz w:val="18"/>
                <w:szCs w:val="18"/>
                <w:vertAlign w:val="subscript"/>
              </w:rPr>
              <w:t>a</w:t>
            </w:r>
          </w:p>
          <w:p w:rsidR="00F65813" w:rsidRDefault="00F65813">
            <w:pPr>
              <w:spacing w:after="0"/>
              <w:jc w:val="center"/>
              <w:rPr>
                <w:rFonts w:asciiTheme="minorEastAsia" w:eastAsiaTheme="minorEastAsia" w:hAnsiTheme="minorEastAsia"/>
                <w:sz w:val="18"/>
                <w:szCs w:val="18"/>
              </w:rPr>
            </w:pPr>
          </w:p>
        </w:tc>
      </w:tr>
      <w:tr w:rsidR="00F65813">
        <w:trPr>
          <w:trHeight w:val="537"/>
          <w:jc w:val="center"/>
        </w:trPr>
        <w:tc>
          <w:tcPr>
            <w:tcW w:w="1420" w:type="dxa"/>
            <w:vMerge w:val="restart"/>
            <w:textDirection w:val="tbRlV"/>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灯具更换</w:t>
            </w:r>
          </w:p>
        </w:tc>
        <w:tc>
          <w:tcPr>
            <w:tcW w:w="7102" w:type="dxa"/>
            <w:gridSpan w:val="9"/>
            <w:vAlign w:val="center"/>
          </w:tcPr>
          <w:p w:rsidR="00F65813" w:rsidRDefault="00EB0B4C">
            <w:pPr>
              <w:spacing w:after="0"/>
              <w:jc w:val="left"/>
              <w:rPr>
                <w:rFonts w:asciiTheme="minorEastAsia" w:eastAsiaTheme="minorEastAsia" w:hAnsiTheme="minorEastAsia"/>
                <w:sz w:val="18"/>
                <w:szCs w:val="18"/>
              </w:rPr>
            </w:pPr>
            <w:r>
              <w:rPr>
                <w:rFonts w:asciiTheme="minorEastAsia" w:eastAsiaTheme="minorEastAsia" w:hAnsiTheme="minorEastAsia" w:hint="eastAsia"/>
                <w:sz w:val="18"/>
                <w:szCs w:val="18"/>
              </w:rPr>
              <w:t>位置</w:t>
            </w:r>
          </w:p>
          <w:p w:rsidR="00F65813" w:rsidRDefault="00F65813">
            <w:pPr>
              <w:spacing w:after="0"/>
              <w:jc w:val="left"/>
              <w:rPr>
                <w:rFonts w:asciiTheme="minorEastAsia" w:eastAsiaTheme="minorEastAsia" w:hAnsiTheme="minorEastAsia"/>
                <w:sz w:val="18"/>
                <w:szCs w:val="18"/>
              </w:rPr>
            </w:pPr>
          </w:p>
        </w:tc>
      </w:tr>
      <w:tr w:rsidR="00F65813">
        <w:trPr>
          <w:trHeight w:val="577"/>
          <w:jc w:val="center"/>
        </w:trPr>
        <w:tc>
          <w:tcPr>
            <w:tcW w:w="1420" w:type="dxa"/>
            <w:vMerge/>
          </w:tcPr>
          <w:p w:rsidR="00F65813" w:rsidRDefault="00F65813">
            <w:pPr>
              <w:spacing w:after="0"/>
              <w:jc w:val="center"/>
              <w:rPr>
                <w:rFonts w:asciiTheme="minorEastAsia" w:eastAsiaTheme="minorEastAsia" w:hAnsiTheme="minorEastAsia"/>
                <w:sz w:val="18"/>
                <w:szCs w:val="18"/>
              </w:rPr>
            </w:pPr>
          </w:p>
        </w:tc>
        <w:tc>
          <w:tcPr>
            <w:tcW w:w="7102" w:type="dxa"/>
            <w:gridSpan w:val="9"/>
            <w:vAlign w:val="center"/>
          </w:tcPr>
          <w:p w:rsidR="00F65813" w:rsidRDefault="00EB0B4C">
            <w:pPr>
              <w:spacing w:after="0"/>
              <w:jc w:val="left"/>
              <w:rPr>
                <w:rFonts w:asciiTheme="minorEastAsia" w:eastAsiaTheme="minorEastAsia" w:hAnsiTheme="minorEastAsia"/>
                <w:sz w:val="18"/>
                <w:szCs w:val="18"/>
              </w:rPr>
            </w:pPr>
            <w:r>
              <w:rPr>
                <w:rFonts w:asciiTheme="minorEastAsia" w:eastAsiaTheme="minorEastAsia" w:hAnsiTheme="minorEastAsia" w:hint="eastAsia"/>
                <w:sz w:val="18"/>
                <w:szCs w:val="18"/>
              </w:rPr>
              <w:t>数量</w:t>
            </w:r>
          </w:p>
          <w:p w:rsidR="00F65813" w:rsidRDefault="00F65813">
            <w:pPr>
              <w:spacing w:after="0"/>
              <w:jc w:val="left"/>
              <w:rPr>
                <w:rFonts w:asciiTheme="minorEastAsia" w:eastAsiaTheme="minorEastAsia" w:hAnsiTheme="minorEastAsia"/>
                <w:sz w:val="18"/>
                <w:szCs w:val="18"/>
              </w:rPr>
            </w:pPr>
          </w:p>
        </w:tc>
      </w:tr>
      <w:tr w:rsidR="00F65813">
        <w:trPr>
          <w:trHeight w:val="585"/>
          <w:jc w:val="center"/>
        </w:trPr>
        <w:tc>
          <w:tcPr>
            <w:tcW w:w="1420" w:type="dxa"/>
            <w:vMerge/>
          </w:tcPr>
          <w:p w:rsidR="00F65813" w:rsidRDefault="00F65813">
            <w:pPr>
              <w:spacing w:after="0"/>
              <w:jc w:val="center"/>
              <w:rPr>
                <w:rFonts w:asciiTheme="minorEastAsia" w:eastAsiaTheme="minorEastAsia" w:hAnsiTheme="minorEastAsia"/>
                <w:sz w:val="18"/>
                <w:szCs w:val="18"/>
              </w:rPr>
            </w:pPr>
          </w:p>
        </w:tc>
        <w:tc>
          <w:tcPr>
            <w:tcW w:w="7102" w:type="dxa"/>
            <w:gridSpan w:val="9"/>
            <w:vAlign w:val="center"/>
          </w:tcPr>
          <w:p w:rsidR="00F65813" w:rsidRDefault="00EB0B4C">
            <w:pPr>
              <w:spacing w:after="0"/>
              <w:jc w:val="left"/>
              <w:rPr>
                <w:rFonts w:asciiTheme="minorEastAsia" w:eastAsiaTheme="minorEastAsia" w:hAnsiTheme="minorEastAsia"/>
                <w:sz w:val="18"/>
                <w:szCs w:val="18"/>
              </w:rPr>
            </w:pPr>
            <w:r>
              <w:rPr>
                <w:rFonts w:asciiTheme="minorEastAsia" w:eastAsiaTheme="minorEastAsia" w:hAnsiTheme="minorEastAsia" w:hint="eastAsia"/>
                <w:sz w:val="18"/>
                <w:szCs w:val="18"/>
              </w:rPr>
              <w:t>更换时间</w:t>
            </w:r>
          </w:p>
          <w:p w:rsidR="00F65813" w:rsidRDefault="00F65813">
            <w:pPr>
              <w:spacing w:after="0"/>
              <w:jc w:val="left"/>
              <w:rPr>
                <w:rFonts w:asciiTheme="minorEastAsia" w:eastAsiaTheme="minorEastAsia" w:hAnsiTheme="minorEastAsia"/>
                <w:sz w:val="18"/>
                <w:szCs w:val="18"/>
              </w:rPr>
            </w:pPr>
          </w:p>
        </w:tc>
      </w:tr>
      <w:tr w:rsidR="00F65813">
        <w:trPr>
          <w:trHeight w:val="332"/>
          <w:jc w:val="center"/>
        </w:trPr>
        <w:tc>
          <w:tcPr>
            <w:tcW w:w="4260" w:type="dxa"/>
            <w:gridSpan w:val="5"/>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灯具图片</w:t>
            </w:r>
          </w:p>
        </w:tc>
        <w:tc>
          <w:tcPr>
            <w:tcW w:w="4262" w:type="dxa"/>
            <w:gridSpan w:val="5"/>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灯具实际更换照片</w:t>
            </w:r>
          </w:p>
        </w:tc>
      </w:tr>
      <w:tr w:rsidR="00F65813">
        <w:trPr>
          <w:trHeight w:val="2154"/>
          <w:jc w:val="center"/>
        </w:trPr>
        <w:tc>
          <w:tcPr>
            <w:tcW w:w="4260" w:type="dxa"/>
            <w:gridSpan w:val="5"/>
          </w:tcPr>
          <w:p w:rsidR="00F65813" w:rsidRDefault="00F65813">
            <w:pPr>
              <w:spacing w:after="0"/>
              <w:jc w:val="center"/>
              <w:rPr>
                <w:rFonts w:asciiTheme="minorEastAsia" w:eastAsiaTheme="minorEastAsia" w:hAnsiTheme="minorEastAsia"/>
                <w:sz w:val="18"/>
                <w:szCs w:val="18"/>
              </w:rPr>
            </w:pPr>
          </w:p>
        </w:tc>
        <w:tc>
          <w:tcPr>
            <w:tcW w:w="4262" w:type="dxa"/>
            <w:gridSpan w:val="5"/>
          </w:tcPr>
          <w:p w:rsidR="00F65813" w:rsidRDefault="00F65813">
            <w:pPr>
              <w:spacing w:after="0"/>
              <w:jc w:val="center"/>
              <w:rPr>
                <w:rFonts w:asciiTheme="minorEastAsia" w:eastAsiaTheme="minorEastAsia" w:hAnsiTheme="minorEastAsia"/>
                <w:sz w:val="18"/>
                <w:szCs w:val="18"/>
              </w:rPr>
            </w:pPr>
          </w:p>
        </w:tc>
      </w:tr>
      <w:tr w:rsidR="00F65813">
        <w:trPr>
          <w:trHeight w:val="57"/>
          <w:jc w:val="center"/>
        </w:trPr>
        <w:tc>
          <w:tcPr>
            <w:tcW w:w="1724" w:type="dxa"/>
            <w:gridSpan w:val="2"/>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备注</w:t>
            </w:r>
          </w:p>
        </w:tc>
        <w:tc>
          <w:tcPr>
            <w:tcW w:w="6798" w:type="dxa"/>
            <w:gridSpan w:val="8"/>
            <w:vAlign w:val="center"/>
          </w:tcPr>
          <w:p w:rsidR="00F65813" w:rsidRDefault="00F65813">
            <w:pPr>
              <w:spacing w:after="0"/>
              <w:jc w:val="center"/>
              <w:rPr>
                <w:rFonts w:asciiTheme="minorEastAsia" w:eastAsiaTheme="minorEastAsia" w:hAnsiTheme="minorEastAsia"/>
                <w:sz w:val="18"/>
                <w:szCs w:val="18"/>
              </w:rPr>
            </w:pPr>
          </w:p>
        </w:tc>
      </w:tr>
      <w:tr w:rsidR="00F65813">
        <w:trPr>
          <w:trHeight w:val="57"/>
          <w:jc w:val="center"/>
        </w:trPr>
        <w:tc>
          <w:tcPr>
            <w:tcW w:w="1724" w:type="dxa"/>
            <w:gridSpan w:val="2"/>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更换人</w:t>
            </w:r>
          </w:p>
        </w:tc>
        <w:tc>
          <w:tcPr>
            <w:tcW w:w="2400" w:type="dxa"/>
            <w:gridSpan w:val="2"/>
            <w:vAlign w:val="center"/>
          </w:tcPr>
          <w:p w:rsidR="00F65813" w:rsidRDefault="00F65813">
            <w:pPr>
              <w:spacing w:after="0"/>
              <w:jc w:val="center"/>
              <w:rPr>
                <w:rFonts w:asciiTheme="minorEastAsia" w:eastAsiaTheme="minorEastAsia" w:hAnsiTheme="minorEastAsia"/>
                <w:sz w:val="18"/>
                <w:szCs w:val="18"/>
              </w:rPr>
            </w:pPr>
          </w:p>
        </w:tc>
        <w:tc>
          <w:tcPr>
            <w:tcW w:w="925" w:type="dxa"/>
            <w:gridSpan w:val="2"/>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检查人</w:t>
            </w:r>
          </w:p>
        </w:tc>
        <w:tc>
          <w:tcPr>
            <w:tcW w:w="1100" w:type="dxa"/>
            <w:vAlign w:val="center"/>
          </w:tcPr>
          <w:p w:rsidR="00F65813" w:rsidRDefault="00F65813">
            <w:pPr>
              <w:spacing w:after="0"/>
              <w:jc w:val="center"/>
              <w:rPr>
                <w:rFonts w:asciiTheme="minorEastAsia" w:eastAsiaTheme="minorEastAsia" w:hAnsiTheme="minorEastAsia"/>
                <w:sz w:val="18"/>
                <w:szCs w:val="18"/>
              </w:rPr>
            </w:pPr>
          </w:p>
        </w:tc>
        <w:tc>
          <w:tcPr>
            <w:tcW w:w="1162" w:type="dxa"/>
            <w:gridSpan w:val="2"/>
            <w:vAlign w:val="center"/>
          </w:tcPr>
          <w:p w:rsidR="00F65813" w:rsidRDefault="00EB0B4C">
            <w:pPr>
              <w:spacing w:after="0"/>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归档日期</w:t>
            </w:r>
          </w:p>
        </w:tc>
        <w:tc>
          <w:tcPr>
            <w:tcW w:w="1211" w:type="dxa"/>
            <w:vAlign w:val="center"/>
          </w:tcPr>
          <w:p w:rsidR="00F65813" w:rsidRDefault="00F65813">
            <w:pPr>
              <w:spacing w:after="0"/>
              <w:jc w:val="center"/>
              <w:rPr>
                <w:rFonts w:asciiTheme="minorEastAsia" w:eastAsiaTheme="minorEastAsia" w:hAnsiTheme="minorEastAsia"/>
                <w:sz w:val="18"/>
                <w:szCs w:val="18"/>
              </w:rPr>
            </w:pPr>
          </w:p>
        </w:tc>
      </w:tr>
      <w:tr w:rsidR="00F65813">
        <w:trPr>
          <w:trHeight w:val="57"/>
          <w:jc w:val="center"/>
        </w:trPr>
        <w:tc>
          <w:tcPr>
            <w:tcW w:w="8522" w:type="dxa"/>
            <w:gridSpan w:val="10"/>
            <w:vAlign w:val="center"/>
          </w:tcPr>
          <w:p w:rsidR="00F65813" w:rsidRDefault="00EB0B4C">
            <w:pPr>
              <w:spacing w:after="0"/>
              <w:ind w:firstLineChars="200" w:firstLine="360"/>
              <w:rPr>
                <w:rFonts w:asciiTheme="minorEastAsia" w:eastAsiaTheme="minorEastAsia" w:hAnsiTheme="minorEastAsia"/>
                <w:sz w:val="18"/>
                <w:szCs w:val="18"/>
              </w:rPr>
            </w:pPr>
            <w:r>
              <w:rPr>
                <w:rFonts w:asciiTheme="minorEastAsia" w:eastAsiaTheme="minorEastAsia" w:hAnsiTheme="minorEastAsia" w:hint="eastAsia"/>
                <w:sz w:val="18"/>
                <w:szCs w:val="18"/>
              </w:rPr>
              <w:t>注：每类灯具一份表格。</w:t>
            </w:r>
          </w:p>
        </w:tc>
      </w:tr>
    </w:tbl>
    <w:p w:rsidR="00F65813" w:rsidRDefault="00F65813">
      <w:pPr>
        <w:jc w:val="center"/>
        <w:sectPr w:rsidR="00F65813">
          <w:footnotePr>
            <w:numRestart w:val="eachPage"/>
          </w:footnotePr>
          <w:pgSz w:w="11906" w:h="16838"/>
          <w:pgMar w:top="567" w:right="1134" w:bottom="1134" w:left="1418" w:header="1418" w:footer="1134" w:gutter="0"/>
          <w:cols w:space="425"/>
          <w:formProt w:val="0"/>
          <w:docGrid w:type="lines" w:linePitch="312"/>
        </w:sectPr>
      </w:pPr>
    </w:p>
    <w:p w:rsidR="00F65813" w:rsidRDefault="00EB0B4C">
      <w:pPr>
        <w:jc w:val="center"/>
        <w:outlineLvl w:val="2"/>
        <w:rPr>
          <w:rFonts w:ascii="黑体" w:eastAsia="黑体" w:hAnsi="黑体"/>
          <w:bCs/>
        </w:rPr>
      </w:pPr>
      <w:bookmarkStart w:id="253" w:name="_Toc57194698"/>
      <w:bookmarkStart w:id="254" w:name="_Toc71206607"/>
      <w:bookmarkStart w:id="255" w:name="_Toc57036658"/>
      <w:bookmarkStart w:id="256" w:name="_Toc56416291"/>
      <w:bookmarkStart w:id="257" w:name="_Toc52361187"/>
      <w:bookmarkStart w:id="258" w:name="_Toc52354348"/>
      <w:r>
        <w:rPr>
          <w:rFonts w:ascii="黑体" w:eastAsia="黑体" w:hAnsi="黑体" w:hint="eastAsia"/>
          <w:bCs/>
        </w:rPr>
        <w:lastRenderedPageBreak/>
        <w:t>表</w:t>
      </w:r>
      <w:r>
        <w:rPr>
          <w:rFonts w:ascii="黑体" w:eastAsia="黑体" w:hAnsi="黑体"/>
          <w:bCs/>
        </w:rPr>
        <w:t xml:space="preserve">B.4  </w:t>
      </w:r>
      <w:r>
        <w:rPr>
          <w:rFonts w:ascii="黑体" w:eastAsia="黑体" w:hAnsi="黑体" w:hint="eastAsia"/>
          <w:bCs/>
        </w:rPr>
        <w:t>配电箱（柜）及电器件更换记录表</w:t>
      </w:r>
      <w:bookmarkEnd w:id="253"/>
      <w:bookmarkEnd w:id="254"/>
      <w:bookmarkEnd w:id="255"/>
      <w:bookmarkEnd w:id="256"/>
      <w:bookmarkEnd w:id="257"/>
      <w:bookmarkEnd w:id="258"/>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20"/>
        <w:gridCol w:w="2235"/>
        <w:gridCol w:w="875"/>
        <w:gridCol w:w="1700"/>
        <w:gridCol w:w="871"/>
        <w:gridCol w:w="1421"/>
      </w:tblGrid>
      <w:tr w:rsidR="00F65813">
        <w:trPr>
          <w:trHeight w:val="420"/>
          <w:jc w:val="center"/>
        </w:trPr>
        <w:tc>
          <w:tcPr>
            <w:tcW w:w="1420" w:type="dxa"/>
            <w:vAlign w:val="center"/>
          </w:tcPr>
          <w:p w:rsidR="00F65813" w:rsidRDefault="00EB0B4C">
            <w:pPr>
              <w:spacing w:after="0"/>
              <w:jc w:val="center"/>
              <w:rPr>
                <w:sz w:val="18"/>
                <w:szCs w:val="18"/>
              </w:rPr>
            </w:pPr>
            <w:r>
              <w:rPr>
                <w:rFonts w:hint="eastAsia"/>
                <w:sz w:val="18"/>
                <w:szCs w:val="18"/>
              </w:rPr>
              <w:t>工程名称</w:t>
            </w:r>
          </w:p>
        </w:tc>
        <w:tc>
          <w:tcPr>
            <w:tcW w:w="7102" w:type="dxa"/>
            <w:gridSpan w:val="5"/>
          </w:tcPr>
          <w:p w:rsidR="00F65813" w:rsidRDefault="00F65813">
            <w:pPr>
              <w:spacing w:after="0"/>
              <w:jc w:val="center"/>
              <w:rPr>
                <w:sz w:val="18"/>
                <w:szCs w:val="18"/>
              </w:rPr>
            </w:pPr>
          </w:p>
        </w:tc>
      </w:tr>
      <w:tr w:rsidR="00F65813">
        <w:trPr>
          <w:trHeight w:val="420"/>
          <w:jc w:val="center"/>
        </w:trPr>
        <w:tc>
          <w:tcPr>
            <w:tcW w:w="1420" w:type="dxa"/>
            <w:vAlign w:val="center"/>
          </w:tcPr>
          <w:p w:rsidR="00F65813" w:rsidRDefault="00EB0B4C">
            <w:pPr>
              <w:spacing w:after="0"/>
              <w:jc w:val="center"/>
              <w:rPr>
                <w:sz w:val="18"/>
                <w:szCs w:val="18"/>
              </w:rPr>
            </w:pPr>
            <w:r>
              <w:rPr>
                <w:rFonts w:hint="eastAsia"/>
                <w:sz w:val="18"/>
                <w:szCs w:val="18"/>
              </w:rPr>
              <w:t>生产厂家</w:t>
            </w:r>
          </w:p>
        </w:tc>
        <w:tc>
          <w:tcPr>
            <w:tcW w:w="7102" w:type="dxa"/>
            <w:gridSpan w:val="5"/>
          </w:tcPr>
          <w:p w:rsidR="00F65813" w:rsidRDefault="00F65813">
            <w:pPr>
              <w:spacing w:after="0"/>
              <w:jc w:val="center"/>
              <w:rPr>
                <w:sz w:val="18"/>
                <w:szCs w:val="18"/>
              </w:rPr>
            </w:pPr>
          </w:p>
        </w:tc>
      </w:tr>
      <w:tr w:rsidR="00F65813">
        <w:trPr>
          <w:trHeight w:val="420"/>
          <w:jc w:val="center"/>
        </w:trPr>
        <w:tc>
          <w:tcPr>
            <w:tcW w:w="1420" w:type="dxa"/>
            <w:vAlign w:val="center"/>
          </w:tcPr>
          <w:p w:rsidR="00F65813" w:rsidRDefault="00EB0B4C">
            <w:pPr>
              <w:spacing w:after="0"/>
              <w:jc w:val="center"/>
              <w:rPr>
                <w:sz w:val="18"/>
                <w:szCs w:val="18"/>
              </w:rPr>
            </w:pPr>
            <w:r>
              <w:rPr>
                <w:rFonts w:hint="eastAsia"/>
                <w:sz w:val="18"/>
                <w:szCs w:val="18"/>
              </w:rPr>
              <w:t>设备名称</w:t>
            </w:r>
          </w:p>
        </w:tc>
        <w:tc>
          <w:tcPr>
            <w:tcW w:w="7102" w:type="dxa"/>
            <w:gridSpan w:val="5"/>
          </w:tcPr>
          <w:p w:rsidR="00F65813" w:rsidRDefault="00F65813">
            <w:pPr>
              <w:spacing w:after="0"/>
              <w:jc w:val="center"/>
              <w:rPr>
                <w:sz w:val="18"/>
                <w:szCs w:val="18"/>
              </w:rPr>
            </w:pPr>
          </w:p>
        </w:tc>
      </w:tr>
      <w:tr w:rsidR="00F65813">
        <w:trPr>
          <w:trHeight w:val="420"/>
          <w:jc w:val="center"/>
        </w:trPr>
        <w:tc>
          <w:tcPr>
            <w:tcW w:w="1420" w:type="dxa"/>
            <w:vMerge w:val="restart"/>
            <w:textDirection w:val="tbRlV"/>
            <w:vAlign w:val="center"/>
          </w:tcPr>
          <w:p w:rsidR="00F65813" w:rsidRDefault="00EB0B4C">
            <w:pPr>
              <w:spacing w:after="0"/>
              <w:jc w:val="center"/>
              <w:rPr>
                <w:sz w:val="18"/>
                <w:szCs w:val="18"/>
              </w:rPr>
            </w:pPr>
            <w:r>
              <w:rPr>
                <w:rFonts w:hint="eastAsia"/>
                <w:sz w:val="18"/>
                <w:szCs w:val="18"/>
              </w:rPr>
              <w:t>设备描述</w:t>
            </w:r>
          </w:p>
        </w:tc>
        <w:tc>
          <w:tcPr>
            <w:tcW w:w="7102" w:type="dxa"/>
            <w:gridSpan w:val="5"/>
            <w:vAlign w:val="center"/>
          </w:tcPr>
          <w:p w:rsidR="00F65813" w:rsidRDefault="00EB0B4C">
            <w:pPr>
              <w:spacing w:after="0"/>
              <w:jc w:val="left"/>
              <w:rPr>
                <w:sz w:val="18"/>
                <w:szCs w:val="18"/>
              </w:rPr>
            </w:pPr>
            <w:r>
              <w:rPr>
                <w:rFonts w:hint="eastAsia"/>
                <w:sz w:val="18"/>
                <w:szCs w:val="18"/>
              </w:rPr>
              <w:t>断路器（型号）：</w:t>
            </w:r>
          </w:p>
          <w:p w:rsidR="00F65813" w:rsidRDefault="00F65813">
            <w:pPr>
              <w:spacing w:after="0"/>
              <w:jc w:val="left"/>
              <w:rPr>
                <w:sz w:val="18"/>
                <w:szCs w:val="18"/>
              </w:rPr>
            </w:pPr>
          </w:p>
        </w:tc>
      </w:tr>
      <w:tr w:rsidR="00F65813">
        <w:trPr>
          <w:trHeight w:val="420"/>
          <w:jc w:val="center"/>
        </w:trPr>
        <w:tc>
          <w:tcPr>
            <w:tcW w:w="1420" w:type="dxa"/>
            <w:vMerge/>
          </w:tcPr>
          <w:p w:rsidR="00F65813" w:rsidRDefault="00F65813">
            <w:pPr>
              <w:spacing w:after="0"/>
              <w:jc w:val="center"/>
              <w:rPr>
                <w:sz w:val="18"/>
                <w:szCs w:val="18"/>
              </w:rPr>
            </w:pPr>
          </w:p>
        </w:tc>
        <w:tc>
          <w:tcPr>
            <w:tcW w:w="7102" w:type="dxa"/>
            <w:gridSpan w:val="5"/>
            <w:vAlign w:val="center"/>
          </w:tcPr>
          <w:p w:rsidR="00F65813" w:rsidRDefault="00EB0B4C">
            <w:pPr>
              <w:spacing w:after="0"/>
              <w:jc w:val="left"/>
              <w:rPr>
                <w:sz w:val="18"/>
                <w:szCs w:val="18"/>
              </w:rPr>
            </w:pPr>
            <w:r>
              <w:rPr>
                <w:rFonts w:hint="eastAsia"/>
                <w:sz w:val="18"/>
                <w:szCs w:val="18"/>
              </w:rPr>
              <w:t>剩余电流动作保护器（型号）：</w:t>
            </w:r>
          </w:p>
          <w:p w:rsidR="00F65813" w:rsidRDefault="00F65813">
            <w:pPr>
              <w:spacing w:after="0"/>
              <w:jc w:val="left"/>
              <w:rPr>
                <w:sz w:val="18"/>
                <w:szCs w:val="18"/>
              </w:rPr>
            </w:pPr>
          </w:p>
        </w:tc>
      </w:tr>
      <w:tr w:rsidR="00F65813">
        <w:trPr>
          <w:trHeight w:val="420"/>
          <w:jc w:val="center"/>
        </w:trPr>
        <w:tc>
          <w:tcPr>
            <w:tcW w:w="1420" w:type="dxa"/>
            <w:vMerge/>
          </w:tcPr>
          <w:p w:rsidR="00F65813" w:rsidRDefault="00F65813">
            <w:pPr>
              <w:spacing w:after="0"/>
              <w:jc w:val="center"/>
              <w:rPr>
                <w:sz w:val="18"/>
                <w:szCs w:val="18"/>
              </w:rPr>
            </w:pPr>
          </w:p>
        </w:tc>
        <w:tc>
          <w:tcPr>
            <w:tcW w:w="7102" w:type="dxa"/>
            <w:gridSpan w:val="5"/>
            <w:vAlign w:val="center"/>
          </w:tcPr>
          <w:p w:rsidR="00F65813" w:rsidRDefault="00EB0B4C">
            <w:pPr>
              <w:spacing w:after="0"/>
              <w:jc w:val="left"/>
              <w:rPr>
                <w:sz w:val="18"/>
                <w:szCs w:val="18"/>
              </w:rPr>
            </w:pPr>
            <w:r>
              <w:rPr>
                <w:rFonts w:hint="eastAsia"/>
                <w:sz w:val="18"/>
                <w:szCs w:val="18"/>
              </w:rPr>
              <w:t>交流接触器（型号）：</w:t>
            </w:r>
          </w:p>
          <w:p w:rsidR="00F65813" w:rsidRDefault="00F65813">
            <w:pPr>
              <w:spacing w:after="0"/>
              <w:jc w:val="left"/>
              <w:rPr>
                <w:sz w:val="18"/>
                <w:szCs w:val="18"/>
              </w:rPr>
            </w:pPr>
          </w:p>
        </w:tc>
      </w:tr>
      <w:tr w:rsidR="00F65813">
        <w:trPr>
          <w:trHeight w:val="420"/>
          <w:jc w:val="center"/>
        </w:trPr>
        <w:tc>
          <w:tcPr>
            <w:tcW w:w="1420" w:type="dxa"/>
            <w:vMerge/>
          </w:tcPr>
          <w:p w:rsidR="00F65813" w:rsidRDefault="00F65813">
            <w:pPr>
              <w:spacing w:after="0"/>
              <w:jc w:val="center"/>
              <w:rPr>
                <w:sz w:val="18"/>
                <w:szCs w:val="18"/>
              </w:rPr>
            </w:pPr>
          </w:p>
        </w:tc>
        <w:tc>
          <w:tcPr>
            <w:tcW w:w="7102" w:type="dxa"/>
            <w:gridSpan w:val="5"/>
            <w:vAlign w:val="center"/>
          </w:tcPr>
          <w:p w:rsidR="00F65813" w:rsidRDefault="00EB0B4C">
            <w:pPr>
              <w:spacing w:after="0"/>
              <w:jc w:val="left"/>
              <w:rPr>
                <w:sz w:val="18"/>
                <w:szCs w:val="18"/>
              </w:rPr>
            </w:pPr>
            <w:r>
              <w:rPr>
                <w:rFonts w:hint="eastAsia"/>
                <w:sz w:val="18"/>
                <w:szCs w:val="18"/>
              </w:rPr>
              <w:t>浪涌保护器（型号）：</w:t>
            </w:r>
          </w:p>
          <w:p w:rsidR="00F65813" w:rsidRDefault="00F65813">
            <w:pPr>
              <w:spacing w:after="0"/>
              <w:jc w:val="left"/>
              <w:rPr>
                <w:sz w:val="18"/>
                <w:szCs w:val="18"/>
              </w:rPr>
            </w:pPr>
          </w:p>
        </w:tc>
      </w:tr>
      <w:tr w:rsidR="00F65813">
        <w:trPr>
          <w:trHeight w:val="420"/>
          <w:jc w:val="center"/>
        </w:trPr>
        <w:tc>
          <w:tcPr>
            <w:tcW w:w="1420" w:type="dxa"/>
            <w:vMerge/>
          </w:tcPr>
          <w:p w:rsidR="00F65813" w:rsidRDefault="00F65813">
            <w:pPr>
              <w:spacing w:after="0"/>
              <w:jc w:val="center"/>
              <w:rPr>
                <w:sz w:val="18"/>
                <w:szCs w:val="18"/>
              </w:rPr>
            </w:pPr>
          </w:p>
        </w:tc>
        <w:tc>
          <w:tcPr>
            <w:tcW w:w="7102" w:type="dxa"/>
            <w:gridSpan w:val="5"/>
            <w:vAlign w:val="center"/>
          </w:tcPr>
          <w:p w:rsidR="00F65813" w:rsidRDefault="00EB0B4C">
            <w:pPr>
              <w:spacing w:after="0"/>
              <w:jc w:val="left"/>
              <w:rPr>
                <w:sz w:val="18"/>
                <w:szCs w:val="18"/>
              </w:rPr>
            </w:pPr>
            <w:r>
              <w:rPr>
                <w:rFonts w:hint="eastAsia"/>
                <w:sz w:val="18"/>
                <w:szCs w:val="18"/>
              </w:rPr>
              <w:t>时间控制开关（型号）：</w:t>
            </w:r>
          </w:p>
          <w:p w:rsidR="00F65813" w:rsidRDefault="00F65813">
            <w:pPr>
              <w:spacing w:after="0"/>
              <w:jc w:val="left"/>
              <w:rPr>
                <w:sz w:val="18"/>
                <w:szCs w:val="18"/>
              </w:rPr>
            </w:pPr>
          </w:p>
        </w:tc>
      </w:tr>
      <w:tr w:rsidR="00F65813">
        <w:trPr>
          <w:trHeight w:val="420"/>
          <w:jc w:val="center"/>
        </w:trPr>
        <w:tc>
          <w:tcPr>
            <w:tcW w:w="1420" w:type="dxa"/>
            <w:vMerge/>
          </w:tcPr>
          <w:p w:rsidR="00F65813" w:rsidRDefault="00F65813">
            <w:pPr>
              <w:spacing w:after="0"/>
              <w:jc w:val="center"/>
              <w:rPr>
                <w:sz w:val="18"/>
                <w:szCs w:val="18"/>
              </w:rPr>
            </w:pPr>
          </w:p>
        </w:tc>
        <w:tc>
          <w:tcPr>
            <w:tcW w:w="7102" w:type="dxa"/>
            <w:gridSpan w:val="5"/>
            <w:vAlign w:val="center"/>
          </w:tcPr>
          <w:p w:rsidR="00F65813" w:rsidRDefault="00EB0B4C">
            <w:pPr>
              <w:spacing w:after="0"/>
              <w:jc w:val="left"/>
              <w:rPr>
                <w:sz w:val="18"/>
                <w:szCs w:val="18"/>
              </w:rPr>
            </w:pPr>
            <w:r>
              <w:rPr>
                <w:rFonts w:hint="eastAsia"/>
                <w:sz w:val="18"/>
                <w:szCs w:val="18"/>
              </w:rPr>
              <w:t>其他：</w:t>
            </w:r>
          </w:p>
          <w:p w:rsidR="00F65813" w:rsidRDefault="00F65813">
            <w:pPr>
              <w:spacing w:after="0"/>
              <w:jc w:val="left"/>
              <w:rPr>
                <w:sz w:val="18"/>
                <w:szCs w:val="18"/>
              </w:rPr>
            </w:pPr>
          </w:p>
        </w:tc>
      </w:tr>
      <w:tr w:rsidR="00F65813">
        <w:trPr>
          <w:trHeight w:val="420"/>
          <w:jc w:val="center"/>
        </w:trPr>
        <w:tc>
          <w:tcPr>
            <w:tcW w:w="1420" w:type="dxa"/>
            <w:vAlign w:val="center"/>
          </w:tcPr>
          <w:p w:rsidR="00F65813" w:rsidRDefault="00EB0B4C">
            <w:pPr>
              <w:spacing w:after="0"/>
              <w:jc w:val="center"/>
              <w:rPr>
                <w:sz w:val="18"/>
                <w:szCs w:val="18"/>
              </w:rPr>
            </w:pPr>
            <w:r>
              <w:rPr>
                <w:rFonts w:hint="eastAsia"/>
                <w:sz w:val="18"/>
                <w:szCs w:val="18"/>
              </w:rPr>
              <w:t>更换位置</w:t>
            </w:r>
          </w:p>
        </w:tc>
        <w:tc>
          <w:tcPr>
            <w:tcW w:w="7102" w:type="dxa"/>
            <w:gridSpan w:val="5"/>
          </w:tcPr>
          <w:p w:rsidR="00F65813" w:rsidRDefault="00F65813">
            <w:pPr>
              <w:spacing w:after="0"/>
              <w:jc w:val="center"/>
              <w:rPr>
                <w:sz w:val="18"/>
                <w:szCs w:val="18"/>
              </w:rPr>
            </w:pPr>
          </w:p>
        </w:tc>
      </w:tr>
      <w:tr w:rsidR="00F65813">
        <w:trPr>
          <w:trHeight w:val="420"/>
          <w:jc w:val="center"/>
        </w:trPr>
        <w:tc>
          <w:tcPr>
            <w:tcW w:w="1420" w:type="dxa"/>
            <w:vAlign w:val="center"/>
          </w:tcPr>
          <w:p w:rsidR="00F65813" w:rsidRDefault="00EB0B4C">
            <w:pPr>
              <w:spacing w:after="0"/>
              <w:jc w:val="center"/>
              <w:rPr>
                <w:sz w:val="18"/>
                <w:szCs w:val="18"/>
              </w:rPr>
            </w:pPr>
            <w:r>
              <w:rPr>
                <w:rFonts w:hint="eastAsia"/>
                <w:sz w:val="18"/>
                <w:szCs w:val="18"/>
              </w:rPr>
              <w:t>更换方式</w:t>
            </w:r>
          </w:p>
        </w:tc>
        <w:tc>
          <w:tcPr>
            <w:tcW w:w="7102" w:type="dxa"/>
            <w:gridSpan w:val="5"/>
          </w:tcPr>
          <w:p w:rsidR="00F65813" w:rsidRDefault="00F65813">
            <w:pPr>
              <w:spacing w:after="0"/>
              <w:jc w:val="center"/>
              <w:rPr>
                <w:sz w:val="18"/>
                <w:szCs w:val="18"/>
              </w:rPr>
            </w:pPr>
          </w:p>
        </w:tc>
      </w:tr>
      <w:tr w:rsidR="00F65813">
        <w:trPr>
          <w:trHeight w:val="420"/>
          <w:jc w:val="center"/>
        </w:trPr>
        <w:tc>
          <w:tcPr>
            <w:tcW w:w="1420" w:type="dxa"/>
            <w:vAlign w:val="center"/>
          </w:tcPr>
          <w:p w:rsidR="00F65813" w:rsidRDefault="00EB0B4C">
            <w:pPr>
              <w:spacing w:after="0"/>
              <w:jc w:val="center"/>
              <w:rPr>
                <w:sz w:val="18"/>
                <w:szCs w:val="18"/>
              </w:rPr>
            </w:pPr>
            <w:r>
              <w:rPr>
                <w:rFonts w:hint="eastAsia"/>
                <w:sz w:val="18"/>
                <w:szCs w:val="18"/>
              </w:rPr>
              <w:t>更换日期</w:t>
            </w:r>
          </w:p>
        </w:tc>
        <w:tc>
          <w:tcPr>
            <w:tcW w:w="7102" w:type="dxa"/>
            <w:gridSpan w:val="5"/>
          </w:tcPr>
          <w:p w:rsidR="00F65813" w:rsidRDefault="00F65813">
            <w:pPr>
              <w:spacing w:after="0"/>
              <w:jc w:val="center"/>
              <w:rPr>
                <w:sz w:val="18"/>
                <w:szCs w:val="18"/>
              </w:rPr>
            </w:pPr>
          </w:p>
        </w:tc>
      </w:tr>
      <w:tr w:rsidR="00F65813">
        <w:trPr>
          <w:trHeight w:val="4091"/>
          <w:jc w:val="center"/>
        </w:trPr>
        <w:tc>
          <w:tcPr>
            <w:tcW w:w="1420" w:type="dxa"/>
            <w:textDirection w:val="tbRlV"/>
            <w:vAlign w:val="center"/>
          </w:tcPr>
          <w:p w:rsidR="00F65813" w:rsidRDefault="00EB0B4C">
            <w:pPr>
              <w:spacing w:after="0"/>
              <w:jc w:val="center"/>
              <w:rPr>
                <w:sz w:val="18"/>
                <w:szCs w:val="18"/>
              </w:rPr>
            </w:pPr>
            <w:r>
              <w:rPr>
                <w:rFonts w:hint="eastAsia"/>
                <w:sz w:val="18"/>
                <w:szCs w:val="18"/>
              </w:rPr>
              <w:t>系统图</w:t>
            </w:r>
          </w:p>
        </w:tc>
        <w:tc>
          <w:tcPr>
            <w:tcW w:w="7102" w:type="dxa"/>
            <w:gridSpan w:val="5"/>
            <w:vAlign w:val="center"/>
          </w:tcPr>
          <w:p w:rsidR="00F65813" w:rsidRDefault="00EB0B4C">
            <w:pPr>
              <w:spacing w:after="0"/>
              <w:jc w:val="center"/>
              <w:rPr>
                <w:sz w:val="18"/>
                <w:szCs w:val="18"/>
              </w:rPr>
            </w:pPr>
            <w:r>
              <w:rPr>
                <w:rFonts w:hint="eastAsia"/>
                <w:sz w:val="18"/>
                <w:szCs w:val="18"/>
              </w:rPr>
              <w:t>（如图纸尺寸过大，请另附图纸）</w:t>
            </w:r>
          </w:p>
        </w:tc>
      </w:tr>
      <w:tr w:rsidR="00F65813">
        <w:trPr>
          <w:trHeight w:val="420"/>
          <w:jc w:val="center"/>
        </w:trPr>
        <w:tc>
          <w:tcPr>
            <w:tcW w:w="1420" w:type="dxa"/>
            <w:vAlign w:val="center"/>
          </w:tcPr>
          <w:p w:rsidR="00F65813" w:rsidRDefault="00EB0B4C">
            <w:pPr>
              <w:spacing w:after="0"/>
              <w:jc w:val="center"/>
              <w:rPr>
                <w:sz w:val="18"/>
                <w:szCs w:val="18"/>
              </w:rPr>
            </w:pPr>
            <w:r>
              <w:rPr>
                <w:rFonts w:hint="eastAsia"/>
                <w:sz w:val="18"/>
                <w:szCs w:val="18"/>
              </w:rPr>
              <w:t>备注</w:t>
            </w:r>
          </w:p>
        </w:tc>
        <w:tc>
          <w:tcPr>
            <w:tcW w:w="7102" w:type="dxa"/>
            <w:gridSpan w:val="5"/>
          </w:tcPr>
          <w:p w:rsidR="00F65813" w:rsidRDefault="00F65813">
            <w:pPr>
              <w:spacing w:after="0"/>
              <w:jc w:val="center"/>
              <w:rPr>
                <w:sz w:val="18"/>
                <w:szCs w:val="18"/>
              </w:rPr>
            </w:pPr>
          </w:p>
        </w:tc>
      </w:tr>
      <w:tr w:rsidR="00F65813">
        <w:trPr>
          <w:trHeight w:val="420"/>
          <w:jc w:val="center"/>
        </w:trPr>
        <w:tc>
          <w:tcPr>
            <w:tcW w:w="1420" w:type="dxa"/>
            <w:vAlign w:val="center"/>
          </w:tcPr>
          <w:p w:rsidR="00F65813" w:rsidRDefault="00EB0B4C">
            <w:pPr>
              <w:spacing w:after="0"/>
              <w:jc w:val="center"/>
              <w:rPr>
                <w:sz w:val="18"/>
                <w:szCs w:val="18"/>
              </w:rPr>
            </w:pPr>
            <w:r>
              <w:rPr>
                <w:rFonts w:hint="eastAsia"/>
                <w:sz w:val="18"/>
                <w:szCs w:val="18"/>
              </w:rPr>
              <w:t>更换人</w:t>
            </w:r>
          </w:p>
        </w:tc>
        <w:tc>
          <w:tcPr>
            <w:tcW w:w="2235" w:type="dxa"/>
          </w:tcPr>
          <w:p w:rsidR="00F65813" w:rsidRDefault="00F65813">
            <w:pPr>
              <w:spacing w:after="0"/>
              <w:jc w:val="center"/>
              <w:rPr>
                <w:sz w:val="18"/>
                <w:szCs w:val="18"/>
              </w:rPr>
            </w:pPr>
          </w:p>
        </w:tc>
        <w:tc>
          <w:tcPr>
            <w:tcW w:w="875" w:type="dxa"/>
            <w:vAlign w:val="center"/>
          </w:tcPr>
          <w:p w:rsidR="00F65813" w:rsidRDefault="00EB0B4C">
            <w:pPr>
              <w:spacing w:after="0"/>
              <w:jc w:val="center"/>
              <w:rPr>
                <w:sz w:val="18"/>
                <w:szCs w:val="18"/>
              </w:rPr>
            </w:pPr>
            <w:r>
              <w:rPr>
                <w:rFonts w:hint="eastAsia"/>
                <w:sz w:val="18"/>
                <w:szCs w:val="18"/>
              </w:rPr>
              <w:t>检查人</w:t>
            </w:r>
          </w:p>
        </w:tc>
        <w:tc>
          <w:tcPr>
            <w:tcW w:w="1700" w:type="dxa"/>
          </w:tcPr>
          <w:p w:rsidR="00F65813" w:rsidRDefault="00F65813">
            <w:pPr>
              <w:spacing w:after="0"/>
              <w:jc w:val="center"/>
              <w:rPr>
                <w:sz w:val="18"/>
                <w:szCs w:val="18"/>
              </w:rPr>
            </w:pPr>
          </w:p>
        </w:tc>
        <w:tc>
          <w:tcPr>
            <w:tcW w:w="871" w:type="dxa"/>
            <w:vAlign w:val="center"/>
          </w:tcPr>
          <w:p w:rsidR="00F65813" w:rsidRDefault="00EB0B4C">
            <w:pPr>
              <w:spacing w:after="0"/>
              <w:jc w:val="center"/>
              <w:rPr>
                <w:sz w:val="18"/>
                <w:szCs w:val="18"/>
              </w:rPr>
            </w:pPr>
            <w:r>
              <w:rPr>
                <w:rFonts w:hint="eastAsia"/>
                <w:sz w:val="18"/>
                <w:szCs w:val="18"/>
              </w:rPr>
              <w:t>日期</w:t>
            </w:r>
          </w:p>
        </w:tc>
        <w:tc>
          <w:tcPr>
            <w:tcW w:w="1421" w:type="dxa"/>
          </w:tcPr>
          <w:p w:rsidR="00F65813" w:rsidRDefault="00F65813">
            <w:pPr>
              <w:spacing w:after="0"/>
              <w:jc w:val="center"/>
              <w:rPr>
                <w:sz w:val="18"/>
                <w:szCs w:val="18"/>
              </w:rPr>
            </w:pPr>
          </w:p>
        </w:tc>
      </w:tr>
    </w:tbl>
    <w:p w:rsidR="00F65813" w:rsidRDefault="00F65813">
      <w:pPr>
        <w:sectPr w:rsidR="00F65813">
          <w:footnotePr>
            <w:numRestart w:val="eachPage"/>
          </w:footnotePr>
          <w:pgSz w:w="11906" w:h="16838"/>
          <w:pgMar w:top="567" w:right="1134" w:bottom="1134" w:left="1418" w:header="1418" w:footer="1134" w:gutter="0"/>
          <w:cols w:space="425"/>
          <w:formProt w:val="0"/>
          <w:docGrid w:type="lines" w:linePitch="312"/>
        </w:sectPr>
      </w:pPr>
    </w:p>
    <w:p w:rsidR="00F65813" w:rsidRDefault="00EB0B4C">
      <w:pPr>
        <w:jc w:val="center"/>
        <w:outlineLvl w:val="2"/>
        <w:rPr>
          <w:rFonts w:ascii="黑体" w:eastAsia="黑体" w:hAnsi="黑体"/>
          <w:bCs/>
        </w:rPr>
      </w:pPr>
      <w:bookmarkStart w:id="259" w:name="_Toc57036659"/>
      <w:bookmarkStart w:id="260" w:name="_Toc71206608"/>
      <w:bookmarkStart w:id="261" w:name="_Toc52354349"/>
      <w:bookmarkStart w:id="262" w:name="_Toc52361188"/>
      <w:bookmarkStart w:id="263" w:name="_Toc57194699"/>
      <w:bookmarkStart w:id="264" w:name="_Toc56416292"/>
      <w:r>
        <w:rPr>
          <w:rFonts w:ascii="黑体" w:eastAsia="黑体" w:hAnsi="黑体" w:hint="eastAsia"/>
          <w:bCs/>
        </w:rPr>
        <w:lastRenderedPageBreak/>
        <w:t>表</w:t>
      </w:r>
      <w:r>
        <w:rPr>
          <w:rFonts w:ascii="黑体" w:eastAsia="黑体" w:hAnsi="黑体"/>
          <w:bCs/>
        </w:rPr>
        <w:t xml:space="preserve">B.5  </w:t>
      </w:r>
      <w:r>
        <w:rPr>
          <w:rFonts w:ascii="黑体" w:eastAsia="黑体" w:hAnsi="黑体" w:hint="eastAsia"/>
          <w:bCs/>
        </w:rPr>
        <w:t>日常运行巡检记录表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67"/>
        <w:gridCol w:w="553"/>
        <w:gridCol w:w="747"/>
        <w:gridCol w:w="673"/>
        <w:gridCol w:w="240"/>
        <w:gridCol w:w="1112"/>
        <w:gridCol w:w="68"/>
        <w:gridCol w:w="1070"/>
        <w:gridCol w:w="350"/>
        <w:gridCol w:w="725"/>
        <w:gridCol w:w="696"/>
        <w:gridCol w:w="391"/>
        <w:gridCol w:w="1030"/>
      </w:tblGrid>
      <w:tr w:rsidR="00F65813">
        <w:trPr>
          <w:trHeight w:val="624"/>
          <w:jc w:val="center"/>
        </w:trPr>
        <w:tc>
          <w:tcPr>
            <w:tcW w:w="1420" w:type="dxa"/>
            <w:gridSpan w:val="2"/>
            <w:vAlign w:val="center"/>
          </w:tcPr>
          <w:p w:rsidR="00F65813" w:rsidRDefault="00EB0B4C">
            <w:pPr>
              <w:spacing w:after="0"/>
              <w:jc w:val="center"/>
              <w:rPr>
                <w:sz w:val="18"/>
                <w:szCs w:val="18"/>
              </w:rPr>
            </w:pPr>
            <w:r>
              <w:rPr>
                <w:rFonts w:hint="eastAsia"/>
                <w:sz w:val="18"/>
                <w:szCs w:val="18"/>
              </w:rPr>
              <w:t>工程名称</w:t>
            </w:r>
          </w:p>
        </w:tc>
        <w:tc>
          <w:tcPr>
            <w:tcW w:w="7102" w:type="dxa"/>
            <w:gridSpan w:val="11"/>
            <w:vAlign w:val="center"/>
          </w:tcPr>
          <w:p w:rsidR="00F65813" w:rsidRDefault="00F65813">
            <w:pPr>
              <w:spacing w:after="0"/>
              <w:jc w:val="center"/>
              <w:rPr>
                <w:sz w:val="18"/>
                <w:szCs w:val="18"/>
              </w:rPr>
            </w:pPr>
          </w:p>
        </w:tc>
      </w:tr>
      <w:tr w:rsidR="00F65813">
        <w:trPr>
          <w:trHeight w:val="420"/>
          <w:jc w:val="center"/>
        </w:trPr>
        <w:tc>
          <w:tcPr>
            <w:tcW w:w="1420" w:type="dxa"/>
            <w:gridSpan w:val="2"/>
            <w:vMerge w:val="restart"/>
            <w:vAlign w:val="center"/>
          </w:tcPr>
          <w:p w:rsidR="00F65813" w:rsidRDefault="00EB0B4C">
            <w:pPr>
              <w:spacing w:after="0"/>
              <w:jc w:val="center"/>
              <w:rPr>
                <w:sz w:val="18"/>
                <w:szCs w:val="18"/>
              </w:rPr>
            </w:pPr>
            <w:r>
              <w:rPr>
                <w:rFonts w:hint="eastAsia"/>
                <w:sz w:val="18"/>
                <w:szCs w:val="18"/>
              </w:rPr>
              <w:t>序号</w:t>
            </w:r>
          </w:p>
        </w:tc>
        <w:tc>
          <w:tcPr>
            <w:tcW w:w="4260" w:type="dxa"/>
            <w:gridSpan w:val="7"/>
            <w:vAlign w:val="center"/>
          </w:tcPr>
          <w:p w:rsidR="00F65813" w:rsidRDefault="00EB0B4C">
            <w:pPr>
              <w:spacing w:after="0"/>
              <w:jc w:val="center"/>
              <w:rPr>
                <w:sz w:val="18"/>
                <w:szCs w:val="18"/>
              </w:rPr>
            </w:pPr>
            <w:r>
              <w:rPr>
                <w:rFonts w:hint="eastAsia"/>
                <w:sz w:val="18"/>
                <w:szCs w:val="18"/>
              </w:rPr>
              <w:t>开启情况</w:t>
            </w:r>
          </w:p>
        </w:tc>
        <w:tc>
          <w:tcPr>
            <w:tcW w:w="1421" w:type="dxa"/>
            <w:gridSpan w:val="2"/>
            <w:vMerge w:val="restart"/>
            <w:vAlign w:val="center"/>
          </w:tcPr>
          <w:p w:rsidR="00F65813" w:rsidRDefault="00EB0B4C">
            <w:pPr>
              <w:spacing w:after="0"/>
              <w:jc w:val="center"/>
              <w:rPr>
                <w:sz w:val="18"/>
                <w:szCs w:val="18"/>
              </w:rPr>
            </w:pPr>
            <w:r>
              <w:rPr>
                <w:rFonts w:hint="eastAsia"/>
                <w:sz w:val="18"/>
                <w:szCs w:val="18"/>
              </w:rPr>
              <w:t>亮灯率</w:t>
            </w:r>
          </w:p>
        </w:tc>
        <w:tc>
          <w:tcPr>
            <w:tcW w:w="1421" w:type="dxa"/>
            <w:gridSpan w:val="2"/>
            <w:vMerge w:val="restart"/>
            <w:vAlign w:val="center"/>
          </w:tcPr>
          <w:p w:rsidR="00F65813" w:rsidRDefault="00EB0B4C">
            <w:pPr>
              <w:spacing w:after="0"/>
              <w:jc w:val="center"/>
              <w:rPr>
                <w:sz w:val="18"/>
                <w:szCs w:val="18"/>
              </w:rPr>
            </w:pPr>
            <w:r>
              <w:rPr>
                <w:rFonts w:hint="eastAsia"/>
                <w:sz w:val="18"/>
                <w:szCs w:val="18"/>
              </w:rPr>
              <w:t>备注</w:t>
            </w:r>
          </w:p>
        </w:tc>
      </w:tr>
      <w:tr w:rsidR="00F65813">
        <w:trPr>
          <w:trHeight w:val="420"/>
          <w:jc w:val="center"/>
        </w:trPr>
        <w:tc>
          <w:tcPr>
            <w:tcW w:w="1420" w:type="dxa"/>
            <w:gridSpan w:val="2"/>
            <w:vMerge/>
          </w:tcPr>
          <w:p w:rsidR="00F65813" w:rsidRDefault="00F65813">
            <w:pPr>
              <w:jc w:val="center"/>
              <w:rPr>
                <w:sz w:val="18"/>
                <w:szCs w:val="18"/>
              </w:rPr>
            </w:pPr>
          </w:p>
        </w:tc>
        <w:tc>
          <w:tcPr>
            <w:tcW w:w="1420" w:type="dxa"/>
            <w:gridSpan w:val="2"/>
            <w:vAlign w:val="center"/>
          </w:tcPr>
          <w:p w:rsidR="00F65813" w:rsidRDefault="00EB0B4C">
            <w:pPr>
              <w:spacing w:after="0"/>
              <w:jc w:val="center"/>
              <w:rPr>
                <w:sz w:val="18"/>
                <w:szCs w:val="18"/>
              </w:rPr>
            </w:pPr>
            <w:r>
              <w:rPr>
                <w:rFonts w:hint="eastAsia"/>
                <w:sz w:val="18"/>
                <w:szCs w:val="18"/>
              </w:rPr>
              <w:t>平日</w:t>
            </w:r>
          </w:p>
        </w:tc>
        <w:tc>
          <w:tcPr>
            <w:tcW w:w="1420" w:type="dxa"/>
            <w:gridSpan w:val="3"/>
            <w:vAlign w:val="center"/>
          </w:tcPr>
          <w:p w:rsidR="00F65813" w:rsidRDefault="00EB0B4C">
            <w:pPr>
              <w:spacing w:after="0"/>
              <w:jc w:val="center"/>
              <w:rPr>
                <w:sz w:val="18"/>
                <w:szCs w:val="18"/>
              </w:rPr>
            </w:pPr>
            <w:r>
              <w:rPr>
                <w:rFonts w:hint="eastAsia"/>
                <w:sz w:val="18"/>
                <w:szCs w:val="18"/>
              </w:rPr>
              <w:t>一般节假日</w:t>
            </w:r>
          </w:p>
        </w:tc>
        <w:tc>
          <w:tcPr>
            <w:tcW w:w="1420" w:type="dxa"/>
            <w:gridSpan w:val="2"/>
            <w:vAlign w:val="center"/>
          </w:tcPr>
          <w:p w:rsidR="00F65813" w:rsidRPr="00F65813" w:rsidRDefault="00F65813">
            <w:pPr>
              <w:spacing w:after="0"/>
              <w:jc w:val="center"/>
              <w:rPr>
                <w:color w:val="000000" w:themeColor="text1"/>
                <w:sz w:val="18"/>
                <w:szCs w:val="18"/>
              </w:rPr>
            </w:pPr>
            <w:r w:rsidRPr="00F65813">
              <w:rPr>
                <w:rFonts w:ascii="宋体" w:hAnsi="宋体" w:hint="eastAsia"/>
                <w:color w:val="FF0000"/>
                <w:sz w:val="18"/>
                <w:szCs w:val="18"/>
              </w:rPr>
              <w:t>重大节日或重大活动</w:t>
            </w:r>
          </w:p>
        </w:tc>
        <w:tc>
          <w:tcPr>
            <w:tcW w:w="1421" w:type="dxa"/>
            <w:gridSpan w:val="2"/>
            <w:vMerge/>
          </w:tcPr>
          <w:p w:rsidR="00F65813" w:rsidRDefault="00F65813">
            <w:pPr>
              <w:jc w:val="center"/>
              <w:rPr>
                <w:sz w:val="18"/>
                <w:szCs w:val="18"/>
              </w:rPr>
            </w:pPr>
          </w:p>
        </w:tc>
        <w:tc>
          <w:tcPr>
            <w:tcW w:w="1421" w:type="dxa"/>
            <w:gridSpan w:val="2"/>
            <w:vMerge/>
          </w:tcPr>
          <w:p w:rsidR="00F65813" w:rsidRDefault="00F65813">
            <w:pPr>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Pr="00F65813" w:rsidRDefault="00F65813">
            <w:pPr>
              <w:keepNext/>
              <w:keepLines/>
              <w:spacing w:before="340" w:after="0"/>
              <w:jc w:val="center"/>
              <w:outlineLvl w:val="0"/>
              <w:rPr>
                <w:color w:val="000000" w:themeColor="text1"/>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0" w:type="dxa"/>
            <w:gridSpan w:val="3"/>
          </w:tcPr>
          <w:p w:rsidR="00F65813" w:rsidRDefault="00F65813">
            <w:pPr>
              <w:spacing w:after="0"/>
              <w:jc w:val="center"/>
              <w:rPr>
                <w:sz w:val="18"/>
                <w:szCs w:val="18"/>
              </w:rPr>
            </w:pPr>
          </w:p>
        </w:tc>
        <w:tc>
          <w:tcPr>
            <w:tcW w:w="1420"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c>
          <w:tcPr>
            <w:tcW w:w="1421" w:type="dxa"/>
            <w:gridSpan w:val="2"/>
          </w:tcPr>
          <w:p w:rsidR="00F65813" w:rsidRDefault="00F65813">
            <w:pPr>
              <w:spacing w:after="0"/>
              <w:jc w:val="center"/>
              <w:rPr>
                <w:sz w:val="18"/>
                <w:szCs w:val="18"/>
              </w:rPr>
            </w:pPr>
          </w:p>
        </w:tc>
      </w:tr>
      <w:tr w:rsidR="00F65813">
        <w:trPr>
          <w:trHeight w:val="510"/>
          <w:jc w:val="center"/>
        </w:trPr>
        <w:tc>
          <w:tcPr>
            <w:tcW w:w="1420" w:type="dxa"/>
            <w:gridSpan w:val="2"/>
            <w:vAlign w:val="center"/>
          </w:tcPr>
          <w:p w:rsidR="00F65813" w:rsidRDefault="00EB0B4C">
            <w:pPr>
              <w:spacing w:after="0"/>
              <w:jc w:val="center"/>
              <w:rPr>
                <w:sz w:val="18"/>
                <w:szCs w:val="18"/>
              </w:rPr>
            </w:pPr>
            <w:r>
              <w:rPr>
                <w:rFonts w:hint="eastAsia"/>
                <w:sz w:val="18"/>
                <w:szCs w:val="18"/>
              </w:rPr>
              <w:t>开启时间</w:t>
            </w:r>
          </w:p>
        </w:tc>
        <w:tc>
          <w:tcPr>
            <w:tcW w:w="2840" w:type="dxa"/>
            <w:gridSpan w:val="5"/>
            <w:vAlign w:val="center"/>
          </w:tcPr>
          <w:p w:rsidR="00F65813" w:rsidRDefault="00F65813">
            <w:pPr>
              <w:spacing w:after="0"/>
              <w:jc w:val="center"/>
              <w:rPr>
                <w:sz w:val="18"/>
                <w:szCs w:val="18"/>
              </w:rPr>
            </w:pPr>
          </w:p>
        </w:tc>
        <w:tc>
          <w:tcPr>
            <w:tcW w:w="1420" w:type="dxa"/>
            <w:gridSpan w:val="2"/>
            <w:vAlign w:val="center"/>
          </w:tcPr>
          <w:p w:rsidR="00F65813" w:rsidRDefault="00EB0B4C">
            <w:pPr>
              <w:spacing w:after="0"/>
              <w:jc w:val="center"/>
              <w:rPr>
                <w:sz w:val="18"/>
                <w:szCs w:val="18"/>
              </w:rPr>
            </w:pPr>
            <w:r>
              <w:rPr>
                <w:rFonts w:hint="eastAsia"/>
                <w:sz w:val="18"/>
                <w:szCs w:val="18"/>
              </w:rPr>
              <w:t>关闭时间</w:t>
            </w:r>
          </w:p>
        </w:tc>
        <w:tc>
          <w:tcPr>
            <w:tcW w:w="2842" w:type="dxa"/>
            <w:gridSpan w:val="4"/>
            <w:vAlign w:val="center"/>
          </w:tcPr>
          <w:p w:rsidR="00F65813" w:rsidRDefault="00F65813">
            <w:pPr>
              <w:spacing w:after="0"/>
              <w:jc w:val="center"/>
              <w:rPr>
                <w:sz w:val="18"/>
                <w:szCs w:val="18"/>
              </w:rPr>
            </w:pPr>
          </w:p>
        </w:tc>
      </w:tr>
      <w:tr w:rsidR="00F65813">
        <w:trPr>
          <w:trHeight w:val="510"/>
          <w:jc w:val="center"/>
        </w:trPr>
        <w:tc>
          <w:tcPr>
            <w:tcW w:w="8522" w:type="dxa"/>
            <w:gridSpan w:val="13"/>
            <w:vAlign w:val="center"/>
          </w:tcPr>
          <w:p w:rsidR="00F65813" w:rsidRDefault="00EB0B4C">
            <w:pPr>
              <w:spacing w:after="0"/>
              <w:ind w:firstLineChars="200" w:firstLine="360"/>
              <w:rPr>
                <w:rFonts w:ascii="宋体" w:hAnsi="宋体"/>
                <w:sz w:val="18"/>
                <w:szCs w:val="18"/>
              </w:rPr>
            </w:pPr>
            <w:r>
              <w:rPr>
                <w:rFonts w:ascii="宋体" w:hAnsi="宋体" w:hint="eastAsia"/>
                <w:sz w:val="18"/>
                <w:szCs w:val="18"/>
              </w:rPr>
              <w:t>注：亮灯率：应按平日、一般节假日、重大节日</w:t>
            </w:r>
            <w:r w:rsidR="00F65813" w:rsidRPr="00F65813">
              <w:rPr>
                <w:rFonts w:ascii="宋体" w:hAnsi="宋体" w:hint="eastAsia"/>
                <w:sz w:val="18"/>
                <w:szCs w:val="18"/>
              </w:rPr>
              <w:t>或重大活动各自模</w:t>
            </w:r>
            <w:r>
              <w:rPr>
                <w:rFonts w:ascii="宋体" w:hAnsi="宋体" w:hint="eastAsia"/>
                <w:sz w:val="18"/>
                <w:szCs w:val="18"/>
              </w:rPr>
              <w:t>式下应亮灯数计算。</w:t>
            </w:r>
          </w:p>
        </w:tc>
      </w:tr>
      <w:tr w:rsidR="00F65813">
        <w:trPr>
          <w:trHeight w:val="510"/>
          <w:jc w:val="center"/>
        </w:trPr>
        <w:tc>
          <w:tcPr>
            <w:tcW w:w="867" w:type="dxa"/>
            <w:vAlign w:val="center"/>
          </w:tcPr>
          <w:p w:rsidR="00F65813" w:rsidRDefault="00EB0B4C">
            <w:pPr>
              <w:spacing w:after="0"/>
              <w:jc w:val="center"/>
              <w:rPr>
                <w:sz w:val="18"/>
                <w:szCs w:val="18"/>
              </w:rPr>
            </w:pPr>
            <w:r>
              <w:rPr>
                <w:rFonts w:hint="eastAsia"/>
                <w:sz w:val="18"/>
                <w:szCs w:val="18"/>
              </w:rPr>
              <w:t>检查人</w:t>
            </w:r>
          </w:p>
        </w:tc>
        <w:tc>
          <w:tcPr>
            <w:tcW w:w="1300" w:type="dxa"/>
            <w:gridSpan w:val="2"/>
            <w:vAlign w:val="center"/>
          </w:tcPr>
          <w:p w:rsidR="00F65813" w:rsidRDefault="00F65813">
            <w:pPr>
              <w:spacing w:after="0"/>
              <w:jc w:val="center"/>
              <w:rPr>
                <w:sz w:val="18"/>
                <w:szCs w:val="18"/>
              </w:rPr>
            </w:pPr>
          </w:p>
        </w:tc>
        <w:tc>
          <w:tcPr>
            <w:tcW w:w="913" w:type="dxa"/>
            <w:gridSpan w:val="2"/>
            <w:vAlign w:val="center"/>
          </w:tcPr>
          <w:p w:rsidR="00F65813" w:rsidRDefault="00EB0B4C">
            <w:pPr>
              <w:spacing w:after="0"/>
              <w:jc w:val="center"/>
              <w:rPr>
                <w:sz w:val="18"/>
                <w:szCs w:val="18"/>
              </w:rPr>
            </w:pPr>
            <w:r>
              <w:rPr>
                <w:rFonts w:hint="eastAsia"/>
                <w:sz w:val="18"/>
                <w:szCs w:val="18"/>
              </w:rPr>
              <w:t>记录人</w:t>
            </w:r>
          </w:p>
        </w:tc>
        <w:tc>
          <w:tcPr>
            <w:tcW w:w="1112" w:type="dxa"/>
            <w:vAlign w:val="center"/>
          </w:tcPr>
          <w:p w:rsidR="00F65813" w:rsidRDefault="00F65813">
            <w:pPr>
              <w:spacing w:after="0"/>
              <w:jc w:val="center"/>
              <w:rPr>
                <w:sz w:val="18"/>
                <w:szCs w:val="18"/>
              </w:rPr>
            </w:pPr>
          </w:p>
        </w:tc>
        <w:tc>
          <w:tcPr>
            <w:tcW w:w="1138" w:type="dxa"/>
            <w:gridSpan w:val="2"/>
            <w:vAlign w:val="center"/>
          </w:tcPr>
          <w:p w:rsidR="00F65813" w:rsidRDefault="00EB0B4C">
            <w:pPr>
              <w:spacing w:after="0"/>
              <w:jc w:val="center"/>
              <w:rPr>
                <w:sz w:val="18"/>
                <w:szCs w:val="18"/>
              </w:rPr>
            </w:pPr>
            <w:r>
              <w:rPr>
                <w:rFonts w:hint="eastAsia"/>
                <w:sz w:val="18"/>
                <w:szCs w:val="18"/>
              </w:rPr>
              <w:t>检查日期</w:t>
            </w:r>
          </w:p>
        </w:tc>
        <w:tc>
          <w:tcPr>
            <w:tcW w:w="1075" w:type="dxa"/>
            <w:gridSpan w:val="2"/>
            <w:vAlign w:val="center"/>
          </w:tcPr>
          <w:p w:rsidR="00F65813" w:rsidRDefault="00F65813">
            <w:pPr>
              <w:spacing w:after="0"/>
              <w:jc w:val="center"/>
              <w:rPr>
                <w:sz w:val="18"/>
                <w:szCs w:val="18"/>
              </w:rPr>
            </w:pPr>
          </w:p>
        </w:tc>
        <w:tc>
          <w:tcPr>
            <w:tcW w:w="1087" w:type="dxa"/>
            <w:gridSpan w:val="2"/>
            <w:vAlign w:val="center"/>
          </w:tcPr>
          <w:p w:rsidR="00F65813" w:rsidRDefault="00EB0B4C">
            <w:pPr>
              <w:spacing w:after="0"/>
              <w:jc w:val="center"/>
              <w:rPr>
                <w:sz w:val="18"/>
                <w:szCs w:val="18"/>
              </w:rPr>
            </w:pPr>
            <w:r>
              <w:rPr>
                <w:rFonts w:hint="eastAsia"/>
                <w:sz w:val="18"/>
                <w:szCs w:val="18"/>
              </w:rPr>
              <w:t>检查时间</w:t>
            </w:r>
          </w:p>
        </w:tc>
        <w:tc>
          <w:tcPr>
            <w:tcW w:w="1030" w:type="dxa"/>
            <w:vAlign w:val="center"/>
          </w:tcPr>
          <w:p w:rsidR="00F65813" w:rsidRDefault="00F65813">
            <w:pPr>
              <w:spacing w:after="0"/>
              <w:jc w:val="center"/>
              <w:rPr>
                <w:sz w:val="18"/>
                <w:szCs w:val="18"/>
              </w:rPr>
            </w:pPr>
          </w:p>
        </w:tc>
      </w:tr>
    </w:tbl>
    <w:p w:rsidR="00F65813" w:rsidRDefault="00F65813">
      <w:pPr>
        <w:jc w:val="center"/>
        <w:sectPr w:rsidR="00F65813">
          <w:footnotePr>
            <w:numRestart w:val="eachPage"/>
          </w:footnotePr>
          <w:pgSz w:w="11906" w:h="16838"/>
          <w:pgMar w:top="567" w:right="1134" w:bottom="1134" w:left="1418" w:header="1418" w:footer="1134" w:gutter="0"/>
          <w:cols w:space="425"/>
          <w:formProt w:val="0"/>
          <w:docGrid w:type="lines" w:linePitch="312"/>
        </w:sectPr>
      </w:pPr>
    </w:p>
    <w:p w:rsidR="00F65813" w:rsidRDefault="00EB0B4C">
      <w:pPr>
        <w:jc w:val="center"/>
        <w:outlineLvl w:val="2"/>
        <w:rPr>
          <w:rFonts w:ascii="黑体" w:eastAsia="黑体" w:hAnsi="黑体"/>
          <w:bCs/>
        </w:rPr>
      </w:pPr>
      <w:bookmarkStart w:id="265" w:name="_Toc52354350"/>
      <w:bookmarkStart w:id="266" w:name="_Toc56416293"/>
      <w:bookmarkStart w:id="267" w:name="_Toc57036660"/>
      <w:bookmarkStart w:id="268" w:name="_Toc52361189"/>
      <w:bookmarkStart w:id="269" w:name="_Toc71206609"/>
      <w:bookmarkStart w:id="270" w:name="_Toc57194700"/>
      <w:bookmarkEnd w:id="259"/>
      <w:bookmarkEnd w:id="260"/>
      <w:bookmarkEnd w:id="261"/>
      <w:bookmarkEnd w:id="262"/>
      <w:bookmarkEnd w:id="263"/>
      <w:bookmarkEnd w:id="264"/>
      <w:r>
        <w:rPr>
          <w:rFonts w:ascii="黑体" w:eastAsia="黑体" w:hAnsi="黑体" w:hint="eastAsia"/>
          <w:bCs/>
        </w:rPr>
        <w:lastRenderedPageBreak/>
        <w:t>表</w:t>
      </w:r>
      <w:r>
        <w:rPr>
          <w:rFonts w:ascii="黑体" w:eastAsia="黑体" w:hAnsi="黑体"/>
          <w:bCs/>
        </w:rPr>
        <w:t xml:space="preserve">B.6  </w:t>
      </w:r>
      <w:r>
        <w:rPr>
          <w:rFonts w:ascii="黑体" w:eastAsia="黑体" w:hAnsi="黑体" w:hint="eastAsia"/>
          <w:bCs/>
        </w:rPr>
        <w:t>定期检查记录汇总表</w:t>
      </w:r>
      <w:bookmarkEnd w:id="265"/>
      <w:bookmarkEnd w:id="266"/>
      <w:bookmarkEnd w:id="267"/>
      <w:bookmarkEnd w:id="268"/>
      <w:bookmarkEnd w:id="269"/>
      <w:bookmarkEnd w:id="270"/>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67"/>
        <w:gridCol w:w="2488"/>
        <w:gridCol w:w="1187"/>
        <w:gridCol w:w="1725"/>
        <w:gridCol w:w="1125"/>
        <w:gridCol w:w="930"/>
      </w:tblGrid>
      <w:tr w:rsidR="00F65813">
        <w:trPr>
          <w:cantSplit/>
          <w:trHeight w:val="454"/>
          <w:jc w:val="center"/>
        </w:trPr>
        <w:tc>
          <w:tcPr>
            <w:tcW w:w="1067" w:type="dxa"/>
            <w:vAlign w:val="center"/>
          </w:tcPr>
          <w:p w:rsidR="00F65813" w:rsidRDefault="00EB0B4C">
            <w:pPr>
              <w:spacing w:after="0"/>
              <w:jc w:val="center"/>
              <w:rPr>
                <w:sz w:val="18"/>
                <w:szCs w:val="18"/>
              </w:rPr>
            </w:pPr>
            <w:r>
              <w:rPr>
                <w:rFonts w:hint="eastAsia"/>
                <w:sz w:val="18"/>
                <w:szCs w:val="18"/>
              </w:rPr>
              <w:t>工程名称</w:t>
            </w:r>
          </w:p>
        </w:tc>
        <w:tc>
          <w:tcPr>
            <w:tcW w:w="7455" w:type="dxa"/>
            <w:gridSpan w:val="5"/>
            <w:vAlign w:val="center"/>
          </w:tcPr>
          <w:p w:rsidR="00F65813" w:rsidRDefault="00F65813">
            <w:pPr>
              <w:spacing w:after="0"/>
              <w:jc w:val="center"/>
              <w:rPr>
                <w:sz w:val="18"/>
                <w:szCs w:val="18"/>
              </w:rPr>
            </w:pPr>
          </w:p>
        </w:tc>
      </w:tr>
      <w:tr w:rsidR="00F65813">
        <w:trPr>
          <w:cantSplit/>
          <w:trHeight w:val="454"/>
          <w:jc w:val="center"/>
        </w:trPr>
        <w:tc>
          <w:tcPr>
            <w:tcW w:w="1067" w:type="dxa"/>
            <w:vAlign w:val="center"/>
          </w:tcPr>
          <w:p w:rsidR="00F65813" w:rsidRDefault="00EB0B4C">
            <w:pPr>
              <w:spacing w:after="0"/>
              <w:jc w:val="center"/>
              <w:rPr>
                <w:sz w:val="18"/>
                <w:szCs w:val="18"/>
              </w:rPr>
            </w:pPr>
            <w:r>
              <w:rPr>
                <w:rFonts w:hint="eastAsia"/>
                <w:sz w:val="18"/>
                <w:szCs w:val="18"/>
              </w:rPr>
              <w:t>部位</w:t>
            </w:r>
          </w:p>
        </w:tc>
        <w:tc>
          <w:tcPr>
            <w:tcW w:w="2488" w:type="dxa"/>
            <w:vAlign w:val="center"/>
          </w:tcPr>
          <w:p w:rsidR="00F65813" w:rsidRDefault="00EB0B4C">
            <w:pPr>
              <w:spacing w:after="0"/>
              <w:jc w:val="center"/>
              <w:rPr>
                <w:sz w:val="18"/>
                <w:szCs w:val="18"/>
              </w:rPr>
            </w:pPr>
            <w:r>
              <w:rPr>
                <w:rFonts w:hint="eastAsia"/>
                <w:sz w:val="18"/>
                <w:szCs w:val="18"/>
              </w:rPr>
              <w:t>检查项目</w:t>
            </w:r>
          </w:p>
        </w:tc>
        <w:tc>
          <w:tcPr>
            <w:tcW w:w="1187" w:type="dxa"/>
            <w:vAlign w:val="center"/>
          </w:tcPr>
          <w:p w:rsidR="00F65813" w:rsidRDefault="00EB0B4C">
            <w:pPr>
              <w:spacing w:after="0"/>
              <w:jc w:val="center"/>
              <w:rPr>
                <w:sz w:val="18"/>
                <w:szCs w:val="18"/>
              </w:rPr>
            </w:pPr>
            <w:r>
              <w:rPr>
                <w:rFonts w:hint="eastAsia"/>
                <w:sz w:val="18"/>
                <w:szCs w:val="18"/>
              </w:rPr>
              <w:t>检查方式</w:t>
            </w:r>
          </w:p>
        </w:tc>
        <w:tc>
          <w:tcPr>
            <w:tcW w:w="2850" w:type="dxa"/>
            <w:gridSpan w:val="2"/>
            <w:vAlign w:val="center"/>
          </w:tcPr>
          <w:p w:rsidR="00F65813" w:rsidRDefault="00EB0B4C">
            <w:pPr>
              <w:spacing w:after="0"/>
              <w:jc w:val="center"/>
              <w:rPr>
                <w:sz w:val="18"/>
                <w:szCs w:val="18"/>
              </w:rPr>
            </w:pPr>
            <w:r>
              <w:rPr>
                <w:rFonts w:hint="eastAsia"/>
                <w:sz w:val="18"/>
                <w:szCs w:val="18"/>
              </w:rPr>
              <w:t>检查结果</w:t>
            </w:r>
          </w:p>
        </w:tc>
        <w:tc>
          <w:tcPr>
            <w:tcW w:w="930" w:type="dxa"/>
            <w:vAlign w:val="center"/>
          </w:tcPr>
          <w:p w:rsidR="00F65813" w:rsidRDefault="00EB0B4C">
            <w:pPr>
              <w:spacing w:after="0"/>
              <w:jc w:val="center"/>
              <w:rPr>
                <w:sz w:val="18"/>
                <w:szCs w:val="18"/>
              </w:rPr>
            </w:pPr>
            <w:r>
              <w:rPr>
                <w:rFonts w:hint="eastAsia"/>
                <w:sz w:val="18"/>
                <w:szCs w:val="18"/>
              </w:rPr>
              <w:t>备注</w:t>
            </w:r>
          </w:p>
        </w:tc>
      </w:tr>
      <w:tr w:rsidR="00F65813">
        <w:trPr>
          <w:cantSplit/>
          <w:trHeight w:val="454"/>
          <w:jc w:val="center"/>
        </w:trPr>
        <w:tc>
          <w:tcPr>
            <w:tcW w:w="1067" w:type="dxa"/>
            <w:vMerge w:val="restart"/>
            <w:textDirection w:val="tbRlV"/>
            <w:vAlign w:val="center"/>
          </w:tcPr>
          <w:p w:rsidR="00F65813" w:rsidRDefault="00EB0B4C">
            <w:pPr>
              <w:spacing w:after="0"/>
              <w:jc w:val="center"/>
              <w:rPr>
                <w:sz w:val="18"/>
                <w:szCs w:val="18"/>
              </w:rPr>
            </w:pPr>
            <w:r>
              <w:rPr>
                <w:rFonts w:hint="eastAsia"/>
                <w:sz w:val="18"/>
                <w:szCs w:val="18"/>
              </w:rPr>
              <w:t>灯具</w:t>
            </w:r>
          </w:p>
        </w:tc>
        <w:tc>
          <w:tcPr>
            <w:tcW w:w="2488" w:type="dxa"/>
            <w:vAlign w:val="center"/>
          </w:tcPr>
          <w:p w:rsidR="00F65813" w:rsidRDefault="00EB0B4C">
            <w:pPr>
              <w:spacing w:after="0"/>
              <w:jc w:val="center"/>
              <w:rPr>
                <w:sz w:val="18"/>
                <w:szCs w:val="18"/>
              </w:rPr>
            </w:pPr>
            <w:r>
              <w:rPr>
                <w:rFonts w:hint="eastAsia"/>
                <w:sz w:val="18"/>
                <w:szCs w:val="18"/>
              </w:rPr>
              <w:t>各部位（含光源、电器）</w:t>
            </w:r>
          </w:p>
        </w:tc>
        <w:tc>
          <w:tcPr>
            <w:tcW w:w="1187" w:type="dxa"/>
            <w:vAlign w:val="center"/>
          </w:tcPr>
          <w:p w:rsidR="00F65813" w:rsidRDefault="00EB0B4C">
            <w:pPr>
              <w:spacing w:after="0"/>
              <w:jc w:val="center"/>
              <w:rPr>
                <w:sz w:val="18"/>
                <w:szCs w:val="18"/>
              </w:rPr>
            </w:pPr>
            <w:r>
              <w:rPr>
                <w:rFonts w:hint="eastAsia"/>
                <w:sz w:val="18"/>
                <w:szCs w:val="18"/>
              </w:rPr>
              <w:t>目测、详检</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Merge/>
            <w:vAlign w:val="center"/>
          </w:tcPr>
          <w:p w:rsidR="00F65813" w:rsidRDefault="00F65813">
            <w:pPr>
              <w:spacing w:after="0"/>
              <w:jc w:val="center"/>
              <w:rPr>
                <w:sz w:val="18"/>
                <w:szCs w:val="18"/>
              </w:rPr>
            </w:pPr>
          </w:p>
        </w:tc>
        <w:tc>
          <w:tcPr>
            <w:tcW w:w="2488" w:type="dxa"/>
            <w:vAlign w:val="center"/>
          </w:tcPr>
          <w:p w:rsidR="00F65813" w:rsidRDefault="00EB0B4C">
            <w:pPr>
              <w:spacing w:after="0"/>
              <w:jc w:val="center"/>
              <w:rPr>
                <w:sz w:val="18"/>
                <w:szCs w:val="18"/>
              </w:rPr>
            </w:pPr>
            <w:r>
              <w:rPr>
                <w:rFonts w:hint="eastAsia"/>
                <w:sz w:val="18"/>
                <w:szCs w:val="18"/>
              </w:rPr>
              <w:t>固定支架</w:t>
            </w:r>
          </w:p>
        </w:tc>
        <w:tc>
          <w:tcPr>
            <w:tcW w:w="1187" w:type="dxa"/>
            <w:vAlign w:val="center"/>
          </w:tcPr>
          <w:p w:rsidR="00F65813" w:rsidRDefault="00EB0B4C">
            <w:pPr>
              <w:spacing w:after="0"/>
              <w:jc w:val="center"/>
              <w:rPr>
                <w:sz w:val="18"/>
                <w:szCs w:val="18"/>
              </w:rPr>
            </w:pPr>
            <w:r>
              <w:rPr>
                <w:rFonts w:hint="eastAsia"/>
                <w:sz w:val="18"/>
                <w:szCs w:val="18"/>
              </w:rPr>
              <w:t>目测、详检</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Merge w:val="restart"/>
            <w:textDirection w:val="tbRlV"/>
            <w:vAlign w:val="center"/>
          </w:tcPr>
          <w:p w:rsidR="00F65813" w:rsidRDefault="00EB0B4C">
            <w:pPr>
              <w:spacing w:after="0"/>
              <w:jc w:val="center"/>
              <w:rPr>
                <w:sz w:val="18"/>
                <w:szCs w:val="18"/>
              </w:rPr>
            </w:pPr>
            <w:r>
              <w:rPr>
                <w:rFonts w:hint="eastAsia"/>
                <w:sz w:val="18"/>
                <w:szCs w:val="18"/>
              </w:rPr>
              <w:t>箱柜</w:t>
            </w:r>
          </w:p>
        </w:tc>
        <w:tc>
          <w:tcPr>
            <w:tcW w:w="2488" w:type="dxa"/>
            <w:vAlign w:val="center"/>
          </w:tcPr>
          <w:p w:rsidR="00F65813" w:rsidRDefault="00EB0B4C">
            <w:pPr>
              <w:spacing w:after="0"/>
              <w:jc w:val="center"/>
              <w:rPr>
                <w:sz w:val="18"/>
                <w:szCs w:val="18"/>
              </w:rPr>
            </w:pPr>
            <w:r>
              <w:rPr>
                <w:rFonts w:hint="eastAsia"/>
                <w:sz w:val="18"/>
                <w:szCs w:val="18"/>
              </w:rPr>
              <w:t>仪表、信号灯</w:t>
            </w:r>
          </w:p>
        </w:tc>
        <w:tc>
          <w:tcPr>
            <w:tcW w:w="1187" w:type="dxa"/>
            <w:vAlign w:val="center"/>
          </w:tcPr>
          <w:p w:rsidR="00F65813" w:rsidRDefault="00EB0B4C">
            <w:pPr>
              <w:spacing w:after="0"/>
              <w:jc w:val="center"/>
              <w:rPr>
                <w:sz w:val="18"/>
                <w:szCs w:val="18"/>
              </w:rPr>
            </w:pPr>
            <w:r>
              <w:rPr>
                <w:rFonts w:hint="eastAsia"/>
                <w:sz w:val="18"/>
                <w:szCs w:val="18"/>
              </w:rPr>
              <w:t>目测</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Merge/>
            <w:vAlign w:val="center"/>
          </w:tcPr>
          <w:p w:rsidR="00F65813" w:rsidRDefault="00F65813">
            <w:pPr>
              <w:spacing w:after="0"/>
              <w:jc w:val="center"/>
              <w:rPr>
                <w:sz w:val="18"/>
                <w:szCs w:val="18"/>
              </w:rPr>
            </w:pPr>
          </w:p>
        </w:tc>
        <w:tc>
          <w:tcPr>
            <w:tcW w:w="2488" w:type="dxa"/>
            <w:vAlign w:val="center"/>
          </w:tcPr>
          <w:p w:rsidR="00F65813" w:rsidRDefault="00EB0B4C">
            <w:pPr>
              <w:spacing w:after="0"/>
              <w:jc w:val="center"/>
              <w:rPr>
                <w:sz w:val="18"/>
                <w:szCs w:val="18"/>
              </w:rPr>
            </w:pPr>
            <w:r>
              <w:rPr>
                <w:rFonts w:hint="eastAsia"/>
                <w:bCs/>
                <w:kern w:val="0"/>
                <w:sz w:val="18"/>
              </w:rPr>
              <w:t>箱体、箱门、门锁</w:t>
            </w:r>
          </w:p>
        </w:tc>
        <w:tc>
          <w:tcPr>
            <w:tcW w:w="1187" w:type="dxa"/>
            <w:vAlign w:val="center"/>
          </w:tcPr>
          <w:p w:rsidR="00F65813" w:rsidRDefault="00EB0B4C">
            <w:pPr>
              <w:spacing w:after="0"/>
              <w:jc w:val="center"/>
              <w:rPr>
                <w:sz w:val="18"/>
                <w:szCs w:val="18"/>
              </w:rPr>
            </w:pPr>
            <w:r>
              <w:rPr>
                <w:rFonts w:hint="eastAsia"/>
                <w:sz w:val="18"/>
                <w:szCs w:val="18"/>
              </w:rPr>
              <w:t>目测</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Merge/>
            <w:vAlign w:val="center"/>
          </w:tcPr>
          <w:p w:rsidR="00F65813" w:rsidRDefault="00F65813">
            <w:pPr>
              <w:spacing w:after="0"/>
              <w:jc w:val="center"/>
              <w:rPr>
                <w:sz w:val="18"/>
                <w:szCs w:val="18"/>
              </w:rPr>
            </w:pPr>
          </w:p>
        </w:tc>
        <w:tc>
          <w:tcPr>
            <w:tcW w:w="2488" w:type="dxa"/>
            <w:vAlign w:val="center"/>
          </w:tcPr>
          <w:p w:rsidR="00F65813" w:rsidRDefault="00EB0B4C">
            <w:pPr>
              <w:spacing w:after="0"/>
              <w:jc w:val="center"/>
              <w:rPr>
                <w:sz w:val="18"/>
                <w:szCs w:val="18"/>
              </w:rPr>
            </w:pPr>
            <w:r>
              <w:rPr>
                <w:rFonts w:hint="eastAsia"/>
                <w:bCs/>
                <w:kern w:val="0"/>
                <w:sz w:val="18"/>
              </w:rPr>
              <w:t>熔断器、断路器、接触器</w:t>
            </w:r>
          </w:p>
        </w:tc>
        <w:tc>
          <w:tcPr>
            <w:tcW w:w="1187" w:type="dxa"/>
            <w:vAlign w:val="center"/>
          </w:tcPr>
          <w:p w:rsidR="00F65813" w:rsidRDefault="00EB0B4C">
            <w:pPr>
              <w:spacing w:after="0"/>
              <w:jc w:val="center"/>
              <w:rPr>
                <w:sz w:val="18"/>
                <w:szCs w:val="18"/>
              </w:rPr>
            </w:pPr>
            <w:r>
              <w:rPr>
                <w:rFonts w:hint="eastAsia"/>
                <w:sz w:val="18"/>
                <w:szCs w:val="18"/>
              </w:rPr>
              <w:t>手动检测</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Merge/>
            <w:vAlign w:val="center"/>
          </w:tcPr>
          <w:p w:rsidR="00F65813" w:rsidRDefault="00F65813">
            <w:pPr>
              <w:spacing w:after="0"/>
              <w:jc w:val="center"/>
              <w:rPr>
                <w:sz w:val="18"/>
                <w:szCs w:val="18"/>
              </w:rPr>
            </w:pPr>
          </w:p>
        </w:tc>
        <w:tc>
          <w:tcPr>
            <w:tcW w:w="2488" w:type="dxa"/>
            <w:vAlign w:val="center"/>
          </w:tcPr>
          <w:p w:rsidR="00F65813" w:rsidRDefault="00EB0B4C">
            <w:pPr>
              <w:spacing w:after="0"/>
              <w:jc w:val="center"/>
              <w:rPr>
                <w:sz w:val="18"/>
                <w:szCs w:val="18"/>
              </w:rPr>
            </w:pPr>
            <w:r>
              <w:rPr>
                <w:rFonts w:hint="eastAsia"/>
                <w:sz w:val="18"/>
                <w:szCs w:val="18"/>
              </w:rPr>
              <w:t>器件、接线端子</w:t>
            </w:r>
          </w:p>
        </w:tc>
        <w:tc>
          <w:tcPr>
            <w:tcW w:w="1187" w:type="dxa"/>
            <w:vAlign w:val="center"/>
          </w:tcPr>
          <w:p w:rsidR="00F65813" w:rsidRDefault="00EB0B4C">
            <w:pPr>
              <w:spacing w:after="0"/>
              <w:jc w:val="center"/>
              <w:rPr>
                <w:sz w:val="18"/>
                <w:szCs w:val="18"/>
              </w:rPr>
            </w:pPr>
            <w:r>
              <w:rPr>
                <w:rFonts w:hint="eastAsia"/>
                <w:sz w:val="18"/>
                <w:szCs w:val="18"/>
              </w:rPr>
              <w:t>目测、详检</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Merge w:val="restart"/>
            <w:textDirection w:val="tbRlV"/>
            <w:vAlign w:val="center"/>
          </w:tcPr>
          <w:p w:rsidR="00F65813" w:rsidRDefault="00EB0B4C">
            <w:pPr>
              <w:spacing w:after="0"/>
              <w:jc w:val="center"/>
              <w:rPr>
                <w:sz w:val="18"/>
                <w:szCs w:val="18"/>
              </w:rPr>
            </w:pPr>
            <w:r>
              <w:rPr>
                <w:rFonts w:hint="eastAsia"/>
                <w:sz w:val="18"/>
                <w:szCs w:val="18"/>
              </w:rPr>
              <w:t>电气线路</w:t>
            </w:r>
          </w:p>
        </w:tc>
        <w:tc>
          <w:tcPr>
            <w:tcW w:w="2488" w:type="dxa"/>
            <w:vAlign w:val="center"/>
          </w:tcPr>
          <w:p w:rsidR="00F65813" w:rsidRDefault="00EB0B4C">
            <w:pPr>
              <w:spacing w:after="0"/>
              <w:jc w:val="center"/>
              <w:rPr>
                <w:sz w:val="18"/>
                <w:szCs w:val="18"/>
              </w:rPr>
            </w:pPr>
            <w:r>
              <w:rPr>
                <w:rFonts w:hint="eastAsia"/>
                <w:bCs/>
                <w:kern w:val="0"/>
                <w:sz w:val="18"/>
              </w:rPr>
              <w:t>电缆井</w:t>
            </w:r>
          </w:p>
        </w:tc>
        <w:tc>
          <w:tcPr>
            <w:tcW w:w="1187" w:type="dxa"/>
            <w:vAlign w:val="center"/>
          </w:tcPr>
          <w:p w:rsidR="00F65813" w:rsidRDefault="00EB0B4C">
            <w:pPr>
              <w:spacing w:after="0"/>
              <w:jc w:val="center"/>
              <w:rPr>
                <w:sz w:val="18"/>
                <w:szCs w:val="18"/>
              </w:rPr>
            </w:pPr>
            <w:r>
              <w:rPr>
                <w:rFonts w:hint="eastAsia"/>
                <w:sz w:val="18"/>
                <w:szCs w:val="18"/>
              </w:rPr>
              <w:t>目测、详检</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Merge/>
            <w:vAlign w:val="center"/>
          </w:tcPr>
          <w:p w:rsidR="00F65813" w:rsidRDefault="00F65813">
            <w:pPr>
              <w:spacing w:after="0"/>
              <w:jc w:val="center"/>
              <w:rPr>
                <w:sz w:val="18"/>
                <w:szCs w:val="18"/>
              </w:rPr>
            </w:pPr>
          </w:p>
        </w:tc>
        <w:tc>
          <w:tcPr>
            <w:tcW w:w="2488" w:type="dxa"/>
            <w:vAlign w:val="center"/>
          </w:tcPr>
          <w:p w:rsidR="00F65813" w:rsidRDefault="00EB0B4C">
            <w:pPr>
              <w:spacing w:after="0"/>
              <w:jc w:val="center"/>
              <w:rPr>
                <w:sz w:val="18"/>
                <w:szCs w:val="18"/>
              </w:rPr>
            </w:pPr>
            <w:r>
              <w:rPr>
                <w:rFonts w:hint="eastAsia"/>
                <w:bCs/>
                <w:kern w:val="0"/>
                <w:sz w:val="18"/>
              </w:rPr>
              <w:t>电缆管（含钢管或线槽）</w:t>
            </w:r>
          </w:p>
        </w:tc>
        <w:tc>
          <w:tcPr>
            <w:tcW w:w="1187" w:type="dxa"/>
            <w:vAlign w:val="center"/>
          </w:tcPr>
          <w:p w:rsidR="00F65813" w:rsidRDefault="00EB0B4C">
            <w:pPr>
              <w:spacing w:after="0"/>
              <w:jc w:val="center"/>
              <w:rPr>
                <w:sz w:val="18"/>
                <w:szCs w:val="18"/>
              </w:rPr>
            </w:pPr>
            <w:r>
              <w:rPr>
                <w:rFonts w:hint="eastAsia"/>
                <w:sz w:val="18"/>
                <w:szCs w:val="18"/>
              </w:rPr>
              <w:t>目测、详检</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Merge/>
            <w:vAlign w:val="center"/>
          </w:tcPr>
          <w:p w:rsidR="00F65813" w:rsidRDefault="00F65813">
            <w:pPr>
              <w:spacing w:after="0"/>
              <w:jc w:val="center"/>
              <w:rPr>
                <w:sz w:val="18"/>
                <w:szCs w:val="18"/>
              </w:rPr>
            </w:pPr>
          </w:p>
        </w:tc>
        <w:tc>
          <w:tcPr>
            <w:tcW w:w="2488" w:type="dxa"/>
            <w:vAlign w:val="center"/>
          </w:tcPr>
          <w:p w:rsidR="00F65813" w:rsidRDefault="00EB0B4C">
            <w:pPr>
              <w:spacing w:after="0"/>
              <w:jc w:val="center"/>
              <w:rPr>
                <w:bCs/>
                <w:kern w:val="0"/>
                <w:sz w:val="18"/>
              </w:rPr>
            </w:pPr>
            <w:r>
              <w:rPr>
                <w:rFonts w:hint="eastAsia"/>
                <w:bCs/>
                <w:kern w:val="0"/>
                <w:sz w:val="18"/>
              </w:rPr>
              <w:t>电缆穿墙管</w:t>
            </w:r>
          </w:p>
        </w:tc>
        <w:tc>
          <w:tcPr>
            <w:tcW w:w="1187" w:type="dxa"/>
            <w:vAlign w:val="center"/>
          </w:tcPr>
          <w:p w:rsidR="00F65813" w:rsidRDefault="00EB0B4C">
            <w:pPr>
              <w:spacing w:after="0"/>
              <w:jc w:val="center"/>
              <w:rPr>
                <w:sz w:val="18"/>
                <w:szCs w:val="18"/>
              </w:rPr>
            </w:pPr>
            <w:r>
              <w:rPr>
                <w:rFonts w:hint="eastAsia"/>
                <w:sz w:val="18"/>
                <w:szCs w:val="18"/>
              </w:rPr>
              <w:t>目测、详检</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Merge/>
            <w:vAlign w:val="center"/>
          </w:tcPr>
          <w:p w:rsidR="00F65813" w:rsidRDefault="00F65813">
            <w:pPr>
              <w:spacing w:after="0"/>
              <w:jc w:val="center"/>
              <w:rPr>
                <w:sz w:val="18"/>
                <w:szCs w:val="18"/>
              </w:rPr>
            </w:pPr>
          </w:p>
        </w:tc>
        <w:tc>
          <w:tcPr>
            <w:tcW w:w="2488" w:type="dxa"/>
            <w:vAlign w:val="center"/>
          </w:tcPr>
          <w:p w:rsidR="00F65813" w:rsidRDefault="00EB0B4C">
            <w:pPr>
              <w:spacing w:after="0"/>
              <w:jc w:val="center"/>
              <w:rPr>
                <w:sz w:val="18"/>
                <w:szCs w:val="18"/>
              </w:rPr>
            </w:pPr>
            <w:r>
              <w:rPr>
                <w:rFonts w:hint="eastAsia"/>
                <w:sz w:val="18"/>
                <w:szCs w:val="18"/>
              </w:rPr>
              <w:t>电缆支架</w:t>
            </w:r>
          </w:p>
        </w:tc>
        <w:tc>
          <w:tcPr>
            <w:tcW w:w="1187" w:type="dxa"/>
            <w:vAlign w:val="center"/>
          </w:tcPr>
          <w:p w:rsidR="00F65813" w:rsidRDefault="00EB0B4C">
            <w:pPr>
              <w:spacing w:after="0"/>
              <w:jc w:val="center"/>
              <w:rPr>
                <w:sz w:val="18"/>
                <w:szCs w:val="18"/>
              </w:rPr>
            </w:pPr>
            <w:r>
              <w:rPr>
                <w:rFonts w:hint="eastAsia"/>
                <w:sz w:val="18"/>
                <w:szCs w:val="18"/>
              </w:rPr>
              <w:t>目测、详检</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Merge/>
            <w:vAlign w:val="center"/>
          </w:tcPr>
          <w:p w:rsidR="00F65813" w:rsidRDefault="00F65813">
            <w:pPr>
              <w:spacing w:after="0"/>
              <w:jc w:val="center"/>
              <w:rPr>
                <w:sz w:val="18"/>
                <w:szCs w:val="18"/>
              </w:rPr>
            </w:pPr>
          </w:p>
        </w:tc>
        <w:tc>
          <w:tcPr>
            <w:tcW w:w="2488" w:type="dxa"/>
            <w:vAlign w:val="center"/>
          </w:tcPr>
          <w:p w:rsidR="00F65813" w:rsidRDefault="00EB0B4C">
            <w:pPr>
              <w:spacing w:after="0"/>
              <w:jc w:val="center"/>
              <w:rPr>
                <w:sz w:val="18"/>
                <w:szCs w:val="18"/>
              </w:rPr>
            </w:pPr>
            <w:r>
              <w:rPr>
                <w:rFonts w:hint="eastAsia"/>
                <w:sz w:val="18"/>
                <w:szCs w:val="18"/>
              </w:rPr>
              <w:t>电缆</w:t>
            </w:r>
          </w:p>
        </w:tc>
        <w:tc>
          <w:tcPr>
            <w:tcW w:w="1187" w:type="dxa"/>
            <w:vAlign w:val="center"/>
          </w:tcPr>
          <w:p w:rsidR="00F65813" w:rsidRDefault="00EB0B4C">
            <w:pPr>
              <w:spacing w:after="0"/>
              <w:jc w:val="center"/>
              <w:rPr>
                <w:sz w:val="18"/>
                <w:szCs w:val="18"/>
              </w:rPr>
            </w:pPr>
            <w:r>
              <w:rPr>
                <w:rFonts w:hint="eastAsia"/>
                <w:sz w:val="18"/>
                <w:szCs w:val="18"/>
              </w:rPr>
              <w:t>目测、详检</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Merge/>
            <w:vAlign w:val="center"/>
          </w:tcPr>
          <w:p w:rsidR="00F65813" w:rsidRDefault="00F65813">
            <w:pPr>
              <w:spacing w:after="0"/>
              <w:jc w:val="center"/>
              <w:rPr>
                <w:sz w:val="18"/>
                <w:szCs w:val="18"/>
              </w:rPr>
            </w:pPr>
          </w:p>
        </w:tc>
        <w:tc>
          <w:tcPr>
            <w:tcW w:w="2488" w:type="dxa"/>
            <w:vAlign w:val="center"/>
          </w:tcPr>
          <w:p w:rsidR="00F65813" w:rsidRDefault="00EB0B4C">
            <w:pPr>
              <w:spacing w:after="0"/>
              <w:jc w:val="center"/>
              <w:rPr>
                <w:sz w:val="18"/>
                <w:szCs w:val="18"/>
              </w:rPr>
            </w:pPr>
            <w:r>
              <w:rPr>
                <w:rFonts w:hint="eastAsia"/>
                <w:sz w:val="18"/>
                <w:szCs w:val="18"/>
              </w:rPr>
              <w:t>可弯曲金属软管</w:t>
            </w:r>
          </w:p>
        </w:tc>
        <w:tc>
          <w:tcPr>
            <w:tcW w:w="1187" w:type="dxa"/>
            <w:vAlign w:val="center"/>
          </w:tcPr>
          <w:p w:rsidR="00F65813" w:rsidRDefault="00EB0B4C">
            <w:pPr>
              <w:spacing w:after="0"/>
              <w:jc w:val="center"/>
              <w:rPr>
                <w:sz w:val="18"/>
                <w:szCs w:val="18"/>
              </w:rPr>
            </w:pPr>
            <w:r>
              <w:rPr>
                <w:rFonts w:hint="eastAsia"/>
                <w:sz w:val="18"/>
                <w:szCs w:val="18"/>
              </w:rPr>
              <w:t>目测、详检</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Merge w:val="restart"/>
            <w:textDirection w:val="tbRlV"/>
            <w:vAlign w:val="center"/>
          </w:tcPr>
          <w:p w:rsidR="00F65813" w:rsidRDefault="00EB0B4C">
            <w:pPr>
              <w:spacing w:after="0"/>
              <w:jc w:val="center"/>
              <w:rPr>
                <w:sz w:val="18"/>
                <w:szCs w:val="18"/>
              </w:rPr>
            </w:pPr>
            <w:r>
              <w:rPr>
                <w:rFonts w:hint="eastAsia"/>
                <w:sz w:val="18"/>
                <w:szCs w:val="18"/>
              </w:rPr>
              <w:t>防雷接地</w:t>
            </w:r>
          </w:p>
        </w:tc>
        <w:tc>
          <w:tcPr>
            <w:tcW w:w="2488" w:type="dxa"/>
            <w:vAlign w:val="center"/>
          </w:tcPr>
          <w:p w:rsidR="00F65813" w:rsidRDefault="00EB0B4C">
            <w:pPr>
              <w:spacing w:after="0"/>
              <w:jc w:val="center"/>
              <w:rPr>
                <w:sz w:val="18"/>
                <w:szCs w:val="18"/>
              </w:rPr>
            </w:pPr>
            <w:r>
              <w:rPr>
                <w:rFonts w:hint="eastAsia"/>
                <w:sz w:val="18"/>
                <w:szCs w:val="18"/>
              </w:rPr>
              <w:t>灯具、箱盘、构架金属外壳、接地连接部</w:t>
            </w:r>
          </w:p>
        </w:tc>
        <w:tc>
          <w:tcPr>
            <w:tcW w:w="1187" w:type="dxa"/>
            <w:vAlign w:val="center"/>
          </w:tcPr>
          <w:p w:rsidR="00F65813" w:rsidRDefault="00EB0B4C">
            <w:pPr>
              <w:spacing w:after="0"/>
              <w:jc w:val="center"/>
              <w:rPr>
                <w:sz w:val="18"/>
                <w:szCs w:val="18"/>
              </w:rPr>
            </w:pPr>
            <w:r>
              <w:rPr>
                <w:rFonts w:hint="eastAsia"/>
                <w:sz w:val="18"/>
                <w:szCs w:val="18"/>
              </w:rPr>
              <w:t>目测、详检</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Merge/>
            <w:vAlign w:val="center"/>
          </w:tcPr>
          <w:p w:rsidR="00F65813" w:rsidRDefault="00F65813">
            <w:pPr>
              <w:spacing w:after="0"/>
              <w:jc w:val="center"/>
              <w:rPr>
                <w:sz w:val="18"/>
                <w:szCs w:val="18"/>
              </w:rPr>
            </w:pPr>
          </w:p>
        </w:tc>
        <w:tc>
          <w:tcPr>
            <w:tcW w:w="2488" w:type="dxa"/>
            <w:vAlign w:val="center"/>
          </w:tcPr>
          <w:p w:rsidR="00F65813" w:rsidRDefault="00EB0B4C">
            <w:pPr>
              <w:spacing w:after="0"/>
              <w:jc w:val="center"/>
              <w:rPr>
                <w:sz w:val="18"/>
                <w:szCs w:val="18"/>
              </w:rPr>
            </w:pPr>
            <w:r>
              <w:rPr>
                <w:rFonts w:hint="eastAsia"/>
                <w:bCs/>
                <w:kern w:val="0"/>
                <w:sz w:val="18"/>
              </w:rPr>
              <w:t>保护接地电阻</w:t>
            </w:r>
          </w:p>
        </w:tc>
        <w:tc>
          <w:tcPr>
            <w:tcW w:w="1187" w:type="dxa"/>
            <w:vAlign w:val="center"/>
          </w:tcPr>
          <w:p w:rsidR="00F65813" w:rsidRDefault="00EB0B4C">
            <w:pPr>
              <w:spacing w:after="0"/>
              <w:jc w:val="center"/>
              <w:rPr>
                <w:sz w:val="18"/>
                <w:szCs w:val="18"/>
              </w:rPr>
            </w:pPr>
            <w:r>
              <w:rPr>
                <w:rFonts w:hint="eastAsia"/>
                <w:sz w:val="18"/>
                <w:szCs w:val="18"/>
              </w:rPr>
              <w:t>测量</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Merge/>
            <w:vAlign w:val="center"/>
          </w:tcPr>
          <w:p w:rsidR="00F65813" w:rsidRDefault="00F65813">
            <w:pPr>
              <w:spacing w:after="0"/>
              <w:jc w:val="center"/>
              <w:rPr>
                <w:sz w:val="18"/>
                <w:szCs w:val="18"/>
              </w:rPr>
            </w:pPr>
          </w:p>
        </w:tc>
        <w:tc>
          <w:tcPr>
            <w:tcW w:w="2488" w:type="dxa"/>
            <w:vAlign w:val="center"/>
          </w:tcPr>
          <w:p w:rsidR="00F65813" w:rsidRDefault="00EB0B4C">
            <w:pPr>
              <w:spacing w:after="0"/>
              <w:jc w:val="center"/>
              <w:rPr>
                <w:bCs/>
                <w:kern w:val="0"/>
                <w:sz w:val="18"/>
              </w:rPr>
            </w:pPr>
            <w:r>
              <w:rPr>
                <w:rFonts w:hint="eastAsia"/>
                <w:bCs/>
                <w:kern w:val="0"/>
                <w:sz w:val="18"/>
              </w:rPr>
              <w:t>防雷接地电阻</w:t>
            </w:r>
          </w:p>
        </w:tc>
        <w:tc>
          <w:tcPr>
            <w:tcW w:w="1187" w:type="dxa"/>
            <w:vAlign w:val="center"/>
          </w:tcPr>
          <w:p w:rsidR="00F65813" w:rsidRDefault="00EB0B4C">
            <w:pPr>
              <w:spacing w:after="0"/>
              <w:jc w:val="center"/>
              <w:rPr>
                <w:sz w:val="18"/>
                <w:szCs w:val="18"/>
              </w:rPr>
            </w:pPr>
            <w:r>
              <w:rPr>
                <w:rFonts w:hint="eastAsia"/>
                <w:sz w:val="18"/>
                <w:szCs w:val="18"/>
              </w:rPr>
              <w:t>测量</w:t>
            </w: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Align w:val="center"/>
          </w:tcPr>
          <w:p w:rsidR="00F65813" w:rsidRDefault="00F65813">
            <w:pPr>
              <w:spacing w:after="0"/>
              <w:jc w:val="center"/>
              <w:rPr>
                <w:sz w:val="18"/>
                <w:szCs w:val="18"/>
              </w:rPr>
            </w:pPr>
          </w:p>
        </w:tc>
        <w:tc>
          <w:tcPr>
            <w:tcW w:w="2488" w:type="dxa"/>
            <w:vAlign w:val="center"/>
          </w:tcPr>
          <w:p w:rsidR="00F65813" w:rsidRDefault="00F65813">
            <w:pPr>
              <w:spacing w:after="0"/>
              <w:jc w:val="center"/>
              <w:rPr>
                <w:bCs/>
                <w:kern w:val="0"/>
                <w:sz w:val="18"/>
              </w:rPr>
            </w:pPr>
          </w:p>
        </w:tc>
        <w:tc>
          <w:tcPr>
            <w:tcW w:w="1187" w:type="dxa"/>
            <w:vAlign w:val="center"/>
          </w:tcPr>
          <w:p w:rsidR="00F65813" w:rsidRDefault="00F65813">
            <w:pPr>
              <w:spacing w:after="0"/>
              <w:jc w:val="center"/>
              <w:rPr>
                <w:sz w:val="18"/>
                <w:szCs w:val="18"/>
              </w:rPr>
            </w:pP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Align w:val="center"/>
          </w:tcPr>
          <w:p w:rsidR="00F65813" w:rsidRDefault="00F65813">
            <w:pPr>
              <w:spacing w:after="0"/>
              <w:jc w:val="center"/>
              <w:rPr>
                <w:sz w:val="18"/>
                <w:szCs w:val="18"/>
              </w:rPr>
            </w:pPr>
          </w:p>
        </w:tc>
        <w:tc>
          <w:tcPr>
            <w:tcW w:w="2488" w:type="dxa"/>
            <w:vAlign w:val="center"/>
          </w:tcPr>
          <w:p w:rsidR="00F65813" w:rsidRDefault="00F65813">
            <w:pPr>
              <w:spacing w:after="0"/>
              <w:jc w:val="center"/>
              <w:rPr>
                <w:bCs/>
                <w:kern w:val="0"/>
                <w:sz w:val="18"/>
              </w:rPr>
            </w:pPr>
          </w:p>
        </w:tc>
        <w:tc>
          <w:tcPr>
            <w:tcW w:w="1187" w:type="dxa"/>
            <w:vAlign w:val="center"/>
          </w:tcPr>
          <w:p w:rsidR="00F65813" w:rsidRDefault="00F65813">
            <w:pPr>
              <w:spacing w:after="0"/>
              <w:jc w:val="center"/>
              <w:rPr>
                <w:sz w:val="18"/>
                <w:szCs w:val="18"/>
              </w:rPr>
            </w:pP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Align w:val="center"/>
          </w:tcPr>
          <w:p w:rsidR="00F65813" w:rsidRDefault="00F65813">
            <w:pPr>
              <w:spacing w:after="0"/>
              <w:jc w:val="center"/>
              <w:rPr>
                <w:sz w:val="18"/>
                <w:szCs w:val="18"/>
              </w:rPr>
            </w:pPr>
          </w:p>
        </w:tc>
        <w:tc>
          <w:tcPr>
            <w:tcW w:w="2488" w:type="dxa"/>
            <w:vAlign w:val="center"/>
          </w:tcPr>
          <w:p w:rsidR="00F65813" w:rsidRDefault="00F65813">
            <w:pPr>
              <w:spacing w:after="0"/>
              <w:jc w:val="center"/>
              <w:rPr>
                <w:bCs/>
                <w:kern w:val="0"/>
                <w:sz w:val="18"/>
              </w:rPr>
            </w:pPr>
          </w:p>
        </w:tc>
        <w:tc>
          <w:tcPr>
            <w:tcW w:w="1187" w:type="dxa"/>
            <w:vAlign w:val="center"/>
          </w:tcPr>
          <w:p w:rsidR="00F65813" w:rsidRDefault="00F65813">
            <w:pPr>
              <w:spacing w:after="0"/>
              <w:jc w:val="center"/>
              <w:rPr>
                <w:sz w:val="18"/>
                <w:szCs w:val="18"/>
              </w:rPr>
            </w:pP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Align w:val="center"/>
          </w:tcPr>
          <w:p w:rsidR="00F65813" w:rsidRDefault="00F65813">
            <w:pPr>
              <w:spacing w:after="0"/>
              <w:jc w:val="center"/>
              <w:rPr>
                <w:sz w:val="18"/>
                <w:szCs w:val="18"/>
              </w:rPr>
            </w:pPr>
          </w:p>
        </w:tc>
        <w:tc>
          <w:tcPr>
            <w:tcW w:w="2488" w:type="dxa"/>
            <w:vAlign w:val="center"/>
          </w:tcPr>
          <w:p w:rsidR="00F65813" w:rsidRDefault="00F65813">
            <w:pPr>
              <w:spacing w:after="0"/>
              <w:jc w:val="center"/>
              <w:rPr>
                <w:bCs/>
                <w:kern w:val="0"/>
                <w:sz w:val="18"/>
              </w:rPr>
            </w:pPr>
          </w:p>
        </w:tc>
        <w:tc>
          <w:tcPr>
            <w:tcW w:w="1187" w:type="dxa"/>
            <w:vAlign w:val="center"/>
          </w:tcPr>
          <w:p w:rsidR="00F65813" w:rsidRDefault="00F65813">
            <w:pPr>
              <w:spacing w:after="0"/>
              <w:jc w:val="center"/>
              <w:rPr>
                <w:sz w:val="18"/>
                <w:szCs w:val="18"/>
              </w:rPr>
            </w:pPr>
          </w:p>
        </w:tc>
        <w:tc>
          <w:tcPr>
            <w:tcW w:w="2850" w:type="dxa"/>
            <w:gridSpan w:val="2"/>
            <w:vAlign w:val="center"/>
          </w:tcPr>
          <w:p w:rsidR="00F65813" w:rsidRDefault="00F65813">
            <w:pPr>
              <w:spacing w:after="0"/>
              <w:jc w:val="center"/>
              <w:rPr>
                <w:sz w:val="18"/>
                <w:szCs w:val="18"/>
              </w:rPr>
            </w:pPr>
          </w:p>
        </w:tc>
        <w:tc>
          <w:tcPr>
            <w:tcW w:w="930" w:type="dxa"/>
            <w:vAlign w:val="center"/>
          </w:tcPr>
          <w:p w:rsidR="00F65813" w:rsidRDefault="00F65813">
            <w:pPr>
              <w:spacing w:after="0"/>
              <w:jc w:val="center"/>
              <w:rPr>
                <w:sz w:val="18"/>
                <w:szCs w:val="18"/>
              </w:rPr>
            </w:pPr>
          </w:p>
        </w:tc>
      </w:tr>
      <w:tr w:rsidR="00F65813">
        <w:trPr>
          <w:cantSplit/>
          <w:trHeight w:val="454"/>
          <w:jc w:val="center"/>
        </w:trPr>
        <w:tc>
          <w:tcPr>
            <w:tcW w:w="1067" w:type="dxa"/>
            <w:vAlign w:val="center"/>
          </w:tcPr>
          <w:p w:rsidR="00F65813" w:rsidRDefault="00EB0B4C">
            <w:pPr>
              <w:spacing w:after="0"/>
              <w:jc w:val="center"/>
              <w:rPr>
                <w:sz w:val="18"/>
                <w:szCs w:val="18"/>
              </w:rPr>
            </w:pPr>
            <w:r>
              <w:rPr>
                <w:rFonts w:hint="eastAsia"/>
                <w:sz w:val="18"/>
                <w:szCs w:val="18"/>
              </w:rPr>
              <w:t>检查人</w:t>
            </w:r>
          </w:p>
        </w:tc>
        <w:tc>
          <w:tcPr>
            <w:tcW w:w="2488" w:type="dxa"/>
            <w:vAlign w:val="center"/>
          </w:tcPr>
          <w:p w:rsidR="00F65813" w:rsidRDefault="00F65813">
            <w:pPr>
              <w:spacing w:after="0"/>
              <w:jc w:val="center"/>
              <w:rPr>
                <w:sz w:val="18"/>
                <w:szCs w:val="18"/>
              </w:rPr>
            </w:pPr>
          </w:p>
        </w:tc>
        <w:tc>
          <w:tcPr>
            <w:tcW w:w="1187" w:type="dxa"/>
            <w:vAlign w:val="center"/>
          </w:tcPr>
          <w:p w:rsidR="00F65813" w:rsidRDefault="00EB0B4C">
            <w:pPr>
              <w:spacing w:after="0"/>
              <w:jc w:val="center"/>
              <w:rPr>
                <w:sz w:val="18"/>
                <w:szCs w:val="18"/>
              </w:rPr>
            </w:pPr>
            <w:r>
              <w:rPr>
                <w:rFonts w:hint="eastAsia"/>
                <w:sz w:val="18"/>
                <w:szCs w:val="18"/>
              </w:rPr>
              <w:t>记录人</w:t>
            </w:r>
          </w:p>
        </w:tc>
        <w:tc>
          <w:tcPr>
            <w:tcW w:w="1725" w:type="dxa"/>
            <w:vAlign w:val="center"/>
          </w:tcPr>
          <w:p w:rsidR="00F65813" w:rsidRDefault="00F65813">
            <w:pPr>
              <w:spacing w:after="0"/>
              <w:jc w:val="center"/>
              <w:rPr>
                <w:sz w:val="18"/>
                <w:szCs w:val="18"/>
              </w:rPr>
            </w:pPr>
          </w:p>
        </w:tc>
        <w:tc>
          <w:tcPr>
            <w:tcW w:w="1125" w:type="dxa"/>
            <w:vAlign w:val="center"/>
          </w:tcPr>
          <w:p w:rsidR="00F65813" w:rsidRDefault="00EB0B4C">
            <w:pPr>
              <w:spacing w:after="0"/>
              <w:jc w:val="center"/>
              <w:rPr>
                <w:sz w:val="18"/>
                <w:szCs w:val="18"/>
              </w:rPr>
            </w:pPr>
            <w:r>
              <w:rPr>
                <w:rFonts w:hint="eastAsia"/>
                <w:sz w:val="18"/>
                <w:szCs w:val="18"/>
              </w:rPr>
              <w:t>检查日期</w:t>
            </w:r>
          </w:p>
        </w:tc>
        <w:tc>
          <w:tcPr>
            <w:tcW w:w="930" w:type="dxa"/>
            <w:vAlign w:val="center"/>
          </w:tcPr>
          <w:p w:rsidR="00F65813" w:rsidRDefault="00F65813">
            <w:pPr>
              <w:spacing w:after="0"/>
              <w:jc w:val="center"/>
              <w:rPr>
                <w:sz w:val="18"/>
                <w:szCs w:val="18"/>
              </w:rPr>
            </w:pPr>
          </w:p>
        </w:tc>
      </w:tr>
    </w:tbl>
    <w:p w:rsidR="00F65813" w:rsidRDefault="00F65813">
      <w:pPr>
        <w:widowControl/>
        <w:jc w:val="center"/>
        <w:rPr>
          <w:rFonts w:asciiTheme="minorEastAsia" w:eastAsiaTheme="minorEastAsia" w:hAnsiTheme="minorEastAsia"/>
        </w:rPr>
      </w:pPr>
    </w:p>
    <w:sectPr w:rsidR="00F65813" w:rsidSect="00F65813">
      <w:footnotePr>
        <w:numRestart w:val="eachPage"/>
      </w:footnotePr>
      <w:pgSz w:w="11906" w:h="16838"/>
      <w:pgMar w:top="567" w:right="1134" w:bottom="1134" w:left="1418" w:header="1418" w:footer="1134" w:gutter="0"/>
      <w:cols w:space="425"/>
      <w:formProt w:val="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B0B4C" w:rsidRDefault="00EB0B4C">
      <w:pPr>
        <w:spacing w:line="240" w:lineRule="auto"/>
      </w:pPr>
      <w:r>
        <w:separator/>
      </w:r>
    </w:p>
  </w:endnote>
  <w:endnote w:type="continuationSeparator" w:id="1">
    <w:p w:rsidR="00EB0B4C" w:rsidRDefault="00EB0B4C">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等线 Light">
    <w:altName w:val="宋体"/>
    <w:charset w:val="86"/>
    <w:family w:val="auto"/>
    <w:pitch w:val="default"/>
    <w:sig w:usb0="00000000" w:usb1="00000000" w:usb2="00000016" w:usb3="00000000" w:csb0="0004000F" w:csb1="00000000"/>
  </w:font>
  <w:font w:name="Arial Unicode MS">
    <w:panose1 w:val="020B0604020202020204"/>
    <w:charset w:val="86"/>
    <w:family w:val="swiss"/>
    <w:pitch w:val="variable"/>
    <w:sig w:usb0="F7FFAFFF" w:usb1="E9DFFFFF" w:usb2="0000003F" w:usb3="00000000" w:csb0="003F01FF" w:csb1="00000000"/>
  </w:font>
  <w:font w:name="Helvetica Neue">
    <w:altName w:val="Times New Roman"/>
    <w:charset w:val="00"/>
    <w:family w:val="auto"/>
    <w:pitch w:val="default"/>
    <w:sig w:usb0="00000000" w:usb1="00000000" w:usb2="00000010" w:usb3="00000000" w:csb0="00000001" w:csb1="00000000"/>
  </w:font>
  <w:font w:name="华文中宋">
    <w:panose1 w:val="02010600040101010101"/>
    <w:charset w:val="86"/>
    <w:family w:val="auto"/>
    <w:pitch w:val="variable"/>
    <w:sig w:usb0="00000287"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98267350"/>
    </w:sdtPr>
    <w:sdtEndPr>
      <w:rPr>
        <w:rFonts w:asciiTheme="minorEastAsia" w:eastAsiaTheme="minorEastAsia" w:hAnsiTheme="minorEastAsia"/>
      </w:rPr>
    </w:sdtEndPr>
    <w:sdtContent>
      <w:p w:rsidR="00F65813" w:rsidRDefault="00F65813">
        <w:pPr>
          <w:pStyle w:val="affb"/>
          <w:ind w:leftChars="100" w:left="210" w:rightChars="0" w:right="0"/>
          <w:jc w:val="left"/>
          <w:rPr>
            <w:rFonts w:asciiTheme="minorEastAsia" w:eastAsiaTheme="minorEastAsia" w:hAnsiTheme="minorEastAsia"/>
          </w:rPr>
        </w:pPr>
        <w:r>
          <w:rPr>
            <w:rFonts w:asciiTheme="minorEastAsia" w:eastAsiaTheme="minorEastAsia" w:hAnsiTheme="minorEastAsia"/>
          </w:rPr>
          <w:fldChar w:fldCharType="begin"/>
        </w:r>
        <w:r w:rsidR="00EB0B4C">
          <w:rPr>
            <w:rFonts w:asciiTheme="minorEastAsia" w:eastAsiaTheme="minorEastAsia" w:hAnsiTheme="minorEastAsia"/>
          </w:rPr>
          <w:instrText>PAGE   \* MERGEFORMAT</w:instrText>
        </w:r>
        <w:r>
          <w:rPr>
            <w:rFonts w:asciiTheme="minorEastAsia" w:eastAsiaTheme="minorEastAsia" w:hAnsiTheme="minorEastAsia"/>
          </w:rPr>
          <w:fldChar w:fldCharType="separate"/>
        </w:r>
        <w:r w:rsidR="007D0FD6">
          <w:rPr>
            <w:rFonts w:asciiTheme="minorEastAsia" w:eastAsiaTheme="minorEastAsia" w:hAnsiTheme="minorEastAsia"/>
            <w:noProof/>
          </w:rPr>
          <w:t>2</w:t>
        </w:r>
        <w:r>
          <w:rPr>
            <w:rFonts w:asciiTheme="minorEastAsia" w:eastAsiaTheme="minorEastAsia" w:hAnsiTheme="minorEastAsia"/>
          </w:rPr>
          <w:fldChar w:fldCharType="end"/>
        </w: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4860114"/>
    </w:sdtPr>
    <w:sdtEndPr>
      <w:rPr>
        <w:rFonts w:asciiTheme="minorEastAsia" w:eastAsiaTheme="minorEastAsia" w:hAnsiTheme="minorEastAsia"/>
      </w:rPr>
    </w:sdtEndPr>
    <w:sdtContent>
      <w:p w:rsidR="00F65813" w:rsidRDefault="00F65813">
        <w:pPr>
          <w:pStyle w:val="affb"/>
          <w:ind w:right="210"/>
          <w:rPr>
            <w:rFonts w:asciiTheme="minorEastAsia" w:eastAsiaTheme="minorEastAsia" w:hAnsiTheme="minorEastAsia"/>
          </w:rPr>
        </w:pPr>
        <w:r>
          <w:rPr>
            <w:rFonts w:asciiTheme="minorEastAsia" w:eastAsiaTheme="minorEastAsia" w:hAnsiTheme="minorEastAsia"/>
          </w:rPr>
          <w:fldChar w:fldCharType="begin"/>
        </w:r>
        <w:r w:rsidR="00EB0B4C">
          <w:rPr>
            <w:rFonts w:asciiTheme="minorEastAsia" w:eastAsiaTheme="minorEastAsia" w:hAnsiTheme="minorEastAsia"/>
          </w:rPr>
          <w:instrText>PAGE   \* MERGEFORMAT</w:instrText>
        </w:r>
        <w:r>
          <w:rPr>
            <w:rFonts w:asciiTheme="minorEastAsia" w:eastAsiaTheme="minorEastAsia" w:hAnsiTheme="minorEastAsia"/>
          </w:rPr>
          <w:fldChar w:fldCharType="separate"/>
        </w:r>
        <w:r w:rsidR="007D0FD6">
          <w:rPr>
            <w:rFonts w:asciiTheme="minorEastAsia" w:eastAsiaTheme="minorEastAsia" w:hAnsiTheme="minorEastAsia"/>
            <w:noProof/>
          </w:rPr>
          <w:t>1</w:t>
        </w:r>
        <w:r>
          <w:rPr>
            <w:rFonts w:asciiTheme="minorEastAsia" w:eastAsiaTheme="minorEastAsia" w:hAnsiTheme="minorEastAsia"/>
          </w:rPr>
          <w:fldChar w:fldCharType="end"/>
        </w:r>
      </w:p>
    </w:sdtContent>
  </w:sdt>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5813" w:rsidRDefault="00F65813">
    <w:pPr>
      <w:pStyle w:val="affb"/>
      <w:ind w:right="21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65651028"/>
    </w:sdtPr>
    <w:sdtEndPr>
      <w:rPr>
        <w:rFonts w:asciiTheme="minorEastAsia" w:eastAsiaTheme="minorEastAsia" w:hAnsiTheme="minorEastAsia"/>
      </w:rPr>
    </w:sdtEndPr>
    <w:sdtContent>
      <w:p w:rsidR="00F65813" w:rsidRDefault="00F65813">
        <w:pPr>
          <w:pStyle w:val="affb"/>
          <w:ind w:leftChars="100" w:left="210" w:rightChars="0" w:right="0"/>
          <w:jc w:val="left"/>
          <w:rPr>
            <w:rFonts w:asciiTheme="minorEastAsia" w:eastAsiaTheme="minorEastAsia" w:hAnsiTheme="minorEastAsia"/>
          </w:rPr>
        </w:pPr>
        <w:r>
          <w:rPr>
            <w:rFonts w:asciiTheme="minorEastAsia" w:eastAsiaTheme="minorEastAsia" w:hAnsiTheme="minorEastAsia"/>
          </w:rPr>
          <w:fldChar w:fldCharType="begin"/>
        </w:r>
        <w:r w:rsidR="00EB0B4C">
          <w:rPr>
            <w:rFonts w:asciiTheme="minorEastAsia" w:eastAsiaTheme="minorEastAsia" w:hAnsiTheme="minorEastAsia"/>
          </w:rPr>
          <w:instrText>PAGE   \* MERGEFORMAT</w:instrText>
        </w:r>
        <w:r>
          <w:rPr>
            <w:rFonts w:asciiTheme="minorEastAsia" w:eastAsiaTheme="minorEastAsia" w:hAnsiTheme="minorEastAsia"/>
          </w:rPr>
          <w:fldChar w:fldCharType="separate"/>
        </w:r>
        <w:r w:rsidR="007D0FD6">
          <w:rPr>
            <w:rFonts w:asciiTheme="minorEastAsia" w:eastAsiaTheme="minorEastAsia" w:hAnsiTheme="minorEastAsia"/>
            <w:noProof/>
          </w:rPr>
          <w:t>24</w:t>
        </w:r>
        <w:r>
          <w:rPr>
            <w:rFonts w:asciiTheme="minorEastAsia" w:eastAsiaTheme="minorEastAsia" w:hAnsiTheme="minorEastAsia"/>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B0B4C" w:rsidRDefault="00EB0B4C">
      <w:pPr>
        <w:spacing w:line="240" w:lineRule="auto"/>
      </w:pPr>
      <w:r>
        <w:separator/>
      </w:r>
    </w:p>
  </w:footnote>
  <w:footnote w:type="continuationSeparator" w:id="1">
    <w:p w:rsidR="00EB0B4C" w:rsidRDefault="00EB0B4C">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9102AD"/>
    <w:multiLevelType w:val="multilevel"/>
    <w:tmpl w:val="079102AD"/>
    <w:lvl w:ilvl="0">
      <w:start w:val="1"/>
      <w:numFmt w:val="decimal"/>
      <w:pStyle w:val="a"/>
      <w:suff w:val="nothing"/>
      <w:lvlText w:val="注%1："/>
      <w:lvlJc w:val="left"/>
      <w:pPr>
        <w:ind w:left="-4435" w:hanging="448"/>
      </w:pPr>
      <w:rPr>
        <w:rFonts w:ascii="黑体" w:eastAsia="黑体" w:hint="eastAsia"/>
        <w:b w:val="0"/>
        <w:bCs w:val="0"/>
        <w:i w:val="0"/>
        <w:iCs w:val="0"/>
        <w:sz w:val="18"/>
        <w:szCs w:val="18"/>
      </w:rPr>
    </w:lvl>
    <w:lvl w:ilvl="1">
      <w:start w:val="1"/>
      <w:numFmt w:val="lowerLetter"/>
      <w:lvlText w:val="%2)"/>
      <w:lvlJc w:val="left"/>
      <w:pPr>
        <w:tabs>
          <w:tab w:val="left" w:pos="-5246"/>
        </w:tabs>
        <w:ind w:left="-4254" w:hanging="629"/>
      </w:pPr>
      <w:rPr>
        <w:rFonts w:hint="eastAsia"/>
      </w:rPr>
    </w:lvl>
    <w:lvl w:ilvl="2">
      <w:start w:val="1"/>
      <w:numFmt w:val="lowerRoman"/>
      <w:lvlText w:val="%3."/>
      <w:lvlJc w:val="right"/>
      <w:pPr>
        <w:tabs>
          <w:tab w:val="left" w:pos="-5246"/>
        </w:tabs>
        <w:ind w:left="-4254" w:hanging="629"/>
      </w:pPr>
      <w:rPr>
        <w:rFonts w:hint="eastAsia"/>
      </w:rPr>
    </w:lvl>
    <w:lvl w:ilvl="3">
      <w:start w:val="1"/>
      <w:numFmt w:val="decimal"/>
      <w:lvlText w:val="%4."/>
      <w:lvlJc w:val="left"/>
      <w:pPr>
        <w:tabs>
          <w:tab w:val="left" w:pos="-5246"/>
        </w:tabs>
        <w:ind w:left="-4254" w:hanging="629"/>
      </w:pPr>
      <w:rPr>
        <w:rFonts w:hint="eastAsia"/>
      </w:rPr>
    </w:lvl>
    <w:lvl w:ilvl="4">
      <w:start w:val="1"/>
      <w:numFmt w:val="lowerLetter"/>
      <w:lvlText w:val="%5)"/>
      <w:lvlJc w:val="left"/>
      <w:pPr>
        <w:tabs>
          <w:tab w:val="left" w:pos="-5246"/>
        </w:tabs>
        <w:ind w:left="-4254" w:hanging="629"/>
      </w:pPr>
      <w:rPr>
        <w:rFonts w:hint="eastAsia"/>
      </w:rPr>
    </w:lvl>
    <w:lvl w:ilvl="5">
      <w:start w:val="1"/>
      <w:numFmt w:val="lowerRoman"/>
      <w:lvlText w:val="%6."/>
      <w:lvlJc w:val="right"/>
      <w:pPr>
        <w:tabs>
          <w:tab w:val="left" w:pos="-5246"/>
        </w:tabs>
        <w:ind w:left="-4254" w:hanging="629"/>
      </w:pPr>
      <w:rPr>
        <w:rFonts w:hint="eastAsia"/>
      </w:rPr>
    </w:lvl>
    <w:lvl w:ilvl="6">
      <w:start w:val="1"/>
      <w:numFmt w:val="decimal"/>
      <w:lvlText w:val="%7."/>
      <w:lvlJc w:val="left"/>
      <w:pPr>
        <w:tabs>
          <w:tab w:val="left" w:pos="-5246"/>
        </w:tabs>
        <w:ind w:left="-4254" w:hanging="629"/>
      </w:pPr>
      <w:rPr>
        <w:rFonts w:hint="eastAsia"/>
      </w:rPr>
    </w:lvl>
    <w:lvl w:ilvl="7">
      <w:start w:val="1"/>
      <w:numFmt w:val="lowerLetter"/>
      <w:lvlText w:val="%8)"/>
      <w:lvlJc w:val="left"/>
      <w:pPr>
        <w:tabs>
          <w:tab w:val="left" w:pos="-5246"/>
        </w:tabs>
        <w:ind w:left="-4254" w:hanging="629"/>
      </w:pPr>
      <w:rPr>
        <w:rFonts w:hint="eastAsia"/>
      </w:rPr>
    </w:lvl>
    <w:lvl w:ilvl="8">
      <w:start w:val="1"/>
      <w:numFmt w:val="lowerRoman"/>
      <w:lvlText w:val="%9."/>
      <w:lvlJc w:val="right"/>
      <w:pPr>
        <w:tabs>
          <w:tab w:val="left" w:pos="-5246"/>
        </w:tabs>
        <w:ind w:left="-4254" w:hanging="629"/>
      </w:pPr>
      <w:rPr>
        <w:rFonts w:hint="eastAsia"/>
      </w:rPr>
    </w:lvl>
  </w:abstractNum>
  <w:abstractNum w:abstractNumId="1">
    <w:nsid w:val="0AE367E9"/>
    <w:multiLevelType w:val="multilevel"/>
    <w:tmpl w:val="0AE367E9"/>
    <w:lvl w:ilvl="0">
      <w:start w:val="1"/>
      <w:numFmt w:val="none"/>
      <w:pStyle w:val="a0"/>
      <w:suff w:val="nothing"/>
      <w:lvlText w:val="%1示例："/>
      <w:lvlJc w:val="left"/>
      <w:pPr>
        <w:ind w:firstLine="363"/>
      </w:pPr>
      <w:rPr>
        <w:rFonts w:ascii="黑体" w:eastAsia="黑体" w:hint="eastAsia"/>
        <w:b w:val="0"/>
        <w:bCs w:val="0"/>
        <w:i w:val="0"/>
        <w:iCs w:val="0"/>
        <w:sz w:val="18"/>
        <w:szCs w:val="18"/>
      </w:rPr>
    </w:lvl>
    <w:lvl w:ilvl="1">
      <w:start w:val="1"/>
      <w:numFmt w:val="lowerLetter"/>
      <w:lvlText w:val="%2)"/>
      <w:lvlJc w:val="left"/>
      <w:pPr>
        <w:tabs>
          <w:tab w:val="left" w:pos="363"/>
        </w:tabs>
        <w:ind w:firstLine="363"/>
      </w:pPr>
      <w:rPr>
        <w:rFonts w:hint="eastAsia"/>
      </w:rPr>
    </w:lvl>
    <w:lvl w:ilvl="2">
      <w:start w:val="1"/>
      <w:numFmt w:val="lowerRoman"/>
      <w:lvlText w:val="%3."/>
      <w:lvlJc w:val="right"/>
      <w:pPr>
        <w:tabs>
          <w:tab w:val="left" w:pos="363"/>
        </w:tabs>
        <w:ind w:firstLine="363"/>
      </w:pPr>
      <w:rPr>
        <w:rFonts w:hint="eastAsia"/>
      </w:rPr>
    </w:lvl>
    <w:lvl w:ilvl="3">
      <w:start w:val="1"/>
      <w:numFmt w:val="decimal"/>
      <w:lvlText w:val="%4."/>
      <w:lvlJc w:val="left"/>
      <w:pPr>
        <w:tabs>
          <w:tab w:val="left" w:pos="363"/>
        </w:tabs>
        <w:ind w:firstLine="363"/>
      </w:pPr>
      <w:rPr>
        <w:rFonts w:hint="eastAsia"/>
      </w:rPr>
    </w:lvl>
    <w:lvl w:ilvl="4">
      <w:start w:val="1"/>
      <w:numFmt w:val="lowerLetter"/>
      <w:lvlText w:val="%5)"/>
      <w:lvlJc w:val="left"/>
      <w:pPr>
        <w:tabs>
          <w:tab w:val="left" w:pos="363"/>
        </w:tabs>
        <w:ind w:firstLine="363"/>
      </w:pPr>
      <w:rPr>
        <w:rFonts w:hint="eastAsia"/>
      </w:rPr>
    </w:lvl>
    <w:lvl w:ilvl="5">
      <w:start w:val="1"/>
      <w:numFmt w:val="lowerRoman"/>
      <w:lvlText w:val="%6."/>
      <w:lvlJc w:val="right"/>
      <w:pPr>
        <w:tabs>
          <w:tab w:val="left" w:pos="363"/>
        </w:tabs>
        <w:ind w:firstLine="363"/>
      </w:pPr>
      <w:rPr>
        <w:rFonts w:hint="eastAsia"/>
      </w:rPr>
    </w:lvl>
    <w:lvl w:ilvl="6">
      <w:start w:val="1"/>
      <w:numFmt w:val="decimal"/>
      <w:lvlText w:val="%7."/>
      <w:lvlJc w:val="left"/>
      <w:pPr>
        <w:tabs>
          <w:tab w:val="left" w:pos="363"/>
        </w:tabs>
        <w:ind w:firstLine="363"/>
      </w:pPr>
      <w:rPr>
        <w:rFonts w:hint="eastAsia"/>
      </w:rPr>
    </w:lvl>
    <w:lvl w:ilvl="7">
      <w:start w:val="1"/>
      <w:numFmt w:val="lowerLetter"/>
      <w:lvlText w:val="%8)"/>
      <w:lvlJc w:val="left"/>
      <w:pPr>
        <w:tabs>
          <w:tab w:val="left" w:pos="363"/>
        </w:tabs>
        <w:ind w:firstLine="363"/>
      </w:pPr>
      <w:rPr>
        <w:rFonts w:hint="eastAsia"/>
      </w:rPr>
    </w:lvl>
    <w:lvl w:ilvl="8">
      <w:start w:val="1"/>
      <w:numFmt w:val="lowerRoman"/>
      <w:lvlText w:val="%9."/>
      <w:lvlJc w:val="right"/>
      <w:pPr>
        <w:tabs>
          <w:tab w:val="left" w:pos="363"/>
        </w:tabs>
        <w:ind w:firstLine="363"/>
      </w:pPr>
      <w:rPr>
        <w:rFonts w:hint="eastAsia"/>
      </w:rPr>
    </w:lvl>
  </w:abstractNum>
  <w:abstractNum w:abstractNumId="2">
    <w:nsid w:val="0D983844"/>
    <w:multiLevelType w:val="multilevel"/>
    <w:tmpl w:val="0D983844"/>
    <w:lvl w:ilvl="0">
      <w:start w:val="1"/>
      <w:numFmt w:val="decimal"/>
      <w:pStyle w:val="a1"/>
      <w:suff w:val="nothing"/>
      <w:lvlText w:val="图%1　"/>
      <w:lvlJc w:val="left"/>
      <w:rPr>
        <w:rFonts w:ascii="黑体" w:eastAsia="黑体" w:hAnsi="Times New Roman" w:hint="eastAsia"/>
        <w:b w:val="0"/>
        <w:bCs w:val="0"/>
        <w:i w:val="0"/>
        <w:iCs w:val="0"/>
        <w:sz w:val="21"/>
        <w:szCs w:val="21"/>
      </w:rPr>
    </w:lvl>
    <w:lvl w:ilvl="1">
      <w:start w:val="1"/>
      <w:numFmt w:val="decimal"/>
      <w:suff w:val="nothing"/>
      <w:lvlText w:val="%1%2　"/>
      <w:lvlJc w:val="left"/>
      <w:rPr>
        <w:rFonts w:ascii="Times New Roman" w:eastAsia="黑体" w:hAnsi="Times New Roman" w:hint="default"/>
        <w:b w:val="0"/>
        <w:bCs w:val="0"/>
        <w:i w:val="0"/>
        <w:iCs w:val="0"/>
        <w:sz w:val="21"/>
        <w:szCs w:val="21"/>
      </w:rPr>
    </w:lvl>
    <w:lvl w:ilvl="2">
      <w:start w:val="1"/>
      <w:numFmt w:val="decimal"/>
      <w:suff w:val="nothing"/>
      <w:lvlText w:val="%1%2.%3　"/>
      <w:lvlJc w:val="left"/>
      <w:rPr>
        <w:rFonts w:ascii="Times New Roman" w:eastAsia="黑体" w:hAnsi="Times New Roman" w:hint="default"/>
        <w:b w:val="0"/>
        <w:bCs w:val="0"/>
        <w:i w:val="0"/>
        <w:iCs w:val="0"/>
        <w:sz w:val="21"/>
        <w:szCs w:val="21"/>
      </w:rPr>
    </w:lvl>
    <w:lvl w:ilvl="3">
      <w:start w:val="1"/>
      <w:numFmt w:val="decimal"/>
      <w:suff w:val="nothing"/>
      <w:lvlText w:val="%1%2.%3.%4　"/>
      <w:lvlJc w:val="left"/>
      <w:rPr>
        <w:rFonts w:ascii="Times New Roman" w:eastAsia="黑体" w:hAnsi="Times New Roman" w:hint="default"/>
        <w:b w:val="0"/>
        <w:bCs w:val="0"/>
        <w:i w:val="0"/>
        <w:iCs w:val="0"/>
        <w:sz w:val="21"/>
        <w:szCs w:val="21"/>
      </w:rPr>
    </w:lvl>
    <w:lvl w:ilvl="4">
      <w:start w:val="1"/>
      <w:numFmt w:val="decimal"/>
      <w:suff w:val="nothing"/>
      <w:lvlText w:val="%1%2.%3.%4.%5　"/>
      <w:lvlJc w:val="left"/>
      <w:rPr>
        <w:rFonts w:ascii="Times New Roman" w:eastAsia="黑体" w:hAnsi="Times New Roman" w:hint="default"/>
        <w:b w:val="0"/>
        <w:bCs w:val="0"/>
        <w:i w:val="0"/>
        <w:iCs w:val="0"/>
        <w:sz w:val="21"/>
        <w:szCs w:val="21"/>
      </w:rPr>
    </w:lvl>
    <w:lvl w:ilvl="5">
      <w:start w:val="1"/>
      <w:numFmt w:val="decimal"/>
      <w:suff w:val="nothing"/>
      <w:lvlText w:val="%1%2.%3.%4.%5.%6　"/>
      <w:lvlJc w:val="left"/>
      <w:rPr>
        <w:rFonts w:ascii="Times New Roman" w:eastAsia="黑体" w:hAnsi="Times New Roman" w:hint="default"/>
        <w:b w:val="0"/>
        <w:bCs w:val="0"/>
        <w:i w:val="0"/>
        <w:iCs w:val="0"/>
        <w:sz w:val="21"/>
        <w:szCs w:val="21"/>
      </w:rPr>
    </w:lvl>
    <w:lvl w:ilvl="6">
      <w:start w:val="1"/>
      <w:numFmt w:val="decimal"/>
      <w:suff w:val="nothing"/>
      <w:lvlText w:val="%1%2.%3.%4.%5.%6.%7　"/>
      <w:lvlJc w:val="left"/>
      <w:rPr>
        <w:rFonts w:ascii="Times New Roman" w:eastAsia="黑体" w:hAnsi="Times New Roman" w:hint="default"/>
        <w:b w:val="0"/>
        <w:bCs w:val="0"/>
        <w:i w:val="0"/>
        <w:iCs w:val="0"/>
        <w:sz w:val="21"/>
        <w:szCs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3">
    <w:nsid w:val="1DBF583A"/>
    <w:multiLevelType w:val="multilevel"/>
    <w:tmpl w:val="1DBF583A"/>
    <w:lvl w:ilvl="0">
      <w:start w:val="1"/>
      <w:numFmt w:val="decimal"/>
      <w:pStyle w:val="a2"/>
      <w:suff w:val="nothing"/>
      <w:lvlText w:val="注%1："/>
      <w:lvlJc w:val="left"/>
      <w:pPr>
        <w:ind w:left="811" w:hanging="448"/>
      </w:pPr>
      <w:rPr>
        <w:rFonts w:ascii="黑体" w:eastAsia="黑体" w:hint="eastAsia"/>
        <w:b w:val="0"/>
        <w:bCs w:val="0"/>
        <w:i w:val="0"/>
        <w:iCs w:val="0"/>
        <w:sz w:val="18"/>
        <w:szCs w:val="18"/>
        <w:vertAlign w:val="baseline"/>
      </w:rPr>
    </w:lvl>
    <w:lvl w:ilvl="1">
      <w:start w:val="1"/>
      <w:numFmt w:val="lowerLetter"/>
      <w:lvlText w:val="%2)"/>
      <w:lvlJc w:val="left"/>
      <w:pPr>
        <w:tabs>
          <w:tab w:val="left" w:pos="180"/>
        </w:tabs>
        <w:ind w:left="1172" w:hanging="629"/>
      </w:pPr>
      <w:rPr>
        <w:rFonts w:hint="eastAsia"/>
        <w:vertAlign w:val="baseline"/>
      </w:rPr>
    </w:lvl>
    <w:lvl w:ilvl="2">
      <w:start w:val="1"/>
      <w:numFmt w:val="lowerRoman"/>
      <w:lvlText w:val="%3."/>
      <w:lvlJc w:val="right"/>
      <w:pPr>
        <w:tabs>
          <w:tab w:val="left" w:pos="180"/>
        </w:tabs>
        <w:ind w:left="1172" w:hanging="629"/>
      </w:pPr>
      <w:rPr>
        <w:rFonts w:hint="eastAsia"/>
        <w:vertAlign w:val="baseline"/>
      </w:rPr>
    </w:lvl>
    <w:lvl w:ilvl="3">
      <w:start w:val="1"/>
      <w:numFmt w:val="decimal"/>
      <w:lvlText w:val="%4."/>
      <w:lvlJc w:val="left"/>
      <w:pPr>
        <w:tabs>
          <w:tab w:val="left" w:pos="180"/>
        </w:tabs>
        <w:ind w:left="1172" w:hanging="629"/>
      </w:pPr>
      <w:rPr>
        <w:rFonts w:hint="eastAsia"/>
        <w:vertAlign w:val="baseline"/>
      </w:rPr>
    </w:lvl>
    <w:lvl w:ilvl="4">
      <w:start w:val="1"/>
      <w:numFmt w:val="lowerLetter"/>
      <w:lvlText w:val="%5)"/>
      <w:lvlJc w:val="left"/>
      <w:pPr>
        <w:tabs>
          <w:tab w:val="left" w:pos="180"/>
        </w:tabs>
        <w:ind w:left="1172" w:hanging="629"/>
      </w:pPr>
      <w:rPr>
        <w:rFonts w:hint="eastAsia"/>
        <w:vertAlign w:val="baseline"/>
      </w:rPr>
    </w:lvl>
    <w:lvl w:ilvl="5">
      <w:start w:val="1"/>
      <w:numFmt w:val="lowerRoman"/>
      <w:lvlText w:val="%6."/>
      <w:lvlJc w:val="right"/>
      <w:pPr>
        <w:tabs>
          <w:tab w:val="left" w:pos="180"/>
        </w:tabs>
        <w:ind w:left="1172" w:hanging="629"/>
      </w:pPr>
      <w:rPr>
        <w:rFonts w:hint="eastAsia"/>
        <w:vertAlign w:val="baseline"/>
      </w:rPr>
    </w:lvl>
    <w:lvl w:ilvl="6">
      <w:start w:val="1"/>
      <w:numFmt w:val="decimal"/>
      <w:lvlText w:val="%7."/>
      <w:lvlJc w:val="left"/>
      <w:pPr>
        <w:tabs>
          <w:tab w:val="left" w:pos="180"/>
        </w:tabs>
        <w:ind w:left="1172" w:hanging="629"/>
      </w:pPr>
      <w:rPr>
        <w:rFonts w:hint="eastAsia"/>
        <w:vertAlign w:val="baseline"/>
      </w:rPr>
    </w:lvl>
    <w:lvl w:ilvl="7">
      <w:start w:val="1"/>
      <w:numFmt w:val="lowerLetter"/>
      <w:lvlText w:val="%8)"/>
      <w:lvlJc w:val="left"/>
      <w:pPr>
        <w:tabs>
          <w:tab w:val="left" w:pos="180"/>
        </w:tabs>
        <w:ind w:left="1172" w:hanging="629"/>
      </w:pPr>
      <w:rPr>
        <w:rFonts w:hint="eastAsia"/>
        <w:vertAlign w:val="baseline"/>
      </w:rPr>
    </w:lvl>
    <w:lvl w:ilvl="8">
      <w:start w:val="1"/>
      <w:numFmt w:val="lowerRoman"/>
      <w:lvlText w:val="%9."/>
      <w:lvlJc w:val="right"/>
      <w:pPr>
        <w:tabs>
          <w:tab w:val="left" w:pos="180"/>
        </w:tabs>
        <w:ind w:left="1172" w:hanging="629"/>
      </w:pPr>
      <w:rPr>
        <w:rFonts w:hint="eastAsia"/>
        <w:vertAlign w:val="baseline"/>
      </w:rPr>
    </w:lvl>
  </w:abstractNum>
  <w:abstractNum w:abstractNumId="4">
    <w:nsid w:val="1FC91163"/>
    <w:multiLevelType w:val="multilevel"/>
    <w:tmpl w:val="1FC91163"/>
    <w:lvl w:ilvl="0">
      <w:start w:val="1"/>
      <w:numFmt w:val="decimal"/>
      <w:pStyle w:val="a3"/>
      <w:suff w:val="nothing"/>
      <w:lvlText w:val="%1　"/>
      <w:lvlJc w:val="left"/>
      <w:pPr>
        <w:ind w:left="0" w:firstLine="0"/>
      </w:pPr>
      <w:rPr>
        <w:rFonts w:ascii="黑体" w:eastAsia="黑体" w:hAnsi="Times New Roman" w:hint="eastAsia"/>
        <w:b w:val="0"/>
        <w:bCs w:val="0"/>
        <w:i w:val="0"/>
        <w:iCs w:val="0"/>
        <w:sz w:val="21"/>
        <w:szCs w:val="21"/>
      </w:rPr>
    </w:lvl>
    <w:lvl w:ilvl="1">
      <w:start w:val="1"/>
      <w:numFmt w:val="decimal"/>
      <w:pStyle w:val="a4"/>
      <w:suff w:val="nothing"/>
      <w:lvlText w:val="%1.%2　"/>
      <w:lvlJc w:val="left"/>
      <w:pPr>
        <w:ind w:left="0" w:firstLine="0"/>
      </w:pPr>
      <w:rPr>
        <w:rFonts w:ascii="黑体" w:eastAsia="黑体" w:hAnsi="Times New Roman" w:hint="eastAsia"/>
        <w:b w:val="0"/>
        <w:bCs w:val="0"/>
        <w:i w:val="0"/>
        <w:iCs w:val="0"/>
        <w:caps w:val="0"/>
        <w:strike w:val="0"/>
        <w:dstrike w:val="0"/>
        <w:vanish w:val="0"/>
        <w:color w:val="000000"/>
        <w:spacing w:val="0"/>
        <w:kern w:val="0"/>
        <w:position w:val="0"/>
        <w:sz w:val="21"/>
        <w:szCs w:val="21"/>
        <w:u w:val="none"/>
        <w:vertAlign w:val="baseline"/>
      </w:rPr>
    </w:lvl>
    <w:lvl w:ilvl="2">
      <w:start w:val="1"/>
      <w:numFmt w:val="decimal"/>
      <w:pStyle w:val="a5"/>
      <w:suff w:val="nothing"/>
      <w:lvlText w:val="%1.%2.%3　"/>
      <w:lvlJc w:val="left"/>
      <w:pPr>
        <w:ind w:left="0" w:firstLine="0"/>
      </w:pPr>
      <w:rPr>
        <w:rFonts w:ascii="黑体" w:eastAsia="黑体" w:hAnsi="Times New Roman" w:hint="eastAsia"/>
        <w:b w:val="0"/>
        <w:bCs w:val="0"/>
        <w:i w:val="0"/>
        <w:iCs w:val="0"/>
        <w:color w:val="auto"/>
        <w:sz w:val="21"/>
        <w:szCs w:val="21"/>
      </w:rPr>
    </w:lvl>
    <w:lvl w:ilvl="3">
      <w:start w:val="1"/>
      <w:numFmt w:val="decimal"/>
      <w:suff w:val="nothing"/>
      <w:lvlText w:val="%1.%2.%3.%4　"/>
      <w:lvlJc w:val="left"/>
      <w:pPr>
        <w:ind w:left="0" w:firstLine="0"/>
      </w:pPr>
      <w:rPr>
        <w:rFonts w:ascii="黑体" w:eastAsia="黑体" w:hAnsi="Times New Roman" w:hint="eastAsia"/>
        <w:b w:val="0"/>
        <w:bCs w:val="0"/>
        <w:i w:val="0"/>
        <w:iCs w:val="0"/>
        <w:sz w:val="21"/>
        <w:szCs w:val="21"/>
      </w:rPr>
    </w:lvl>
    <w:lvl w:ilvl="4">
      <w:start w:val="1"/>
      <w:numFmt w:val="decimal"/>
      <w:pStyle w:val="a6"/>
      <w:suff w:val="nothing"/>
      <w:lvlText w:val="%1.%2.%3.%4.%5　"/>
      <w:lvlJc w:val="left"/>
      <w:pPr>
        <w:ind w:left="0" w:firstLine="0"/>
      </w:pPr>
      <w:rPr>
        <w:rFonts w:ascii="黑体" w:eastAsia="黑体" w:hAnsi="Times New Roman" w:hint="eastAsia"/>
        <w:b w:val="0"/>
        <w:bCs w:val="0"/>
        <w:i w:val="0"/>
        <w:iCs w:val="0"/>
        <w:sz w:val="21"/>
        <w:szCs w:val="21"/>
      </w:rPr>
    </w:lvl>
    <w:lvl w:ilvl="5">
      <w:start w:val="1"/>
      <w:numFmt w:val="decimal"/>
      <w:pStyle w:val="a7"/>
      <w:suff w:val="nothing"/>
      <w:lvlText w:val="%1.%2.%3.%4.%5.%6　"/>
      <w:lvlJc w:val="left"/>
      <w:pPr>
        <w:ind w:left="0" w:firstLine="0"/>
      </w:pPr>
      <w:rPr>
        <w:rFonts w:ascii="黑体" w:eastAsia="黑体" w:hAnsi="Times New Roman" w:hint="eastAsia"/>
        <w:b w:val="0"/>
        <w:bCs w:val="0"/>
        <w:i w:val="0"/>
        <w:iCs w:val="0"/>
        <w:sz w:val="21"/>
        <w:szCs w:val="21"/>
      </w:rPr>
    </w:lvl>
    <w:lvl w:ilvl="6">
      <w:start w:val="1"/>
      <w:numFmt w:val="decimal"/>
      <w:suff w:val="nothing"/>
      <w:lvlText w:val="%1%2.%3.%4.%5.%6.%7　"/>
      <w:lvlJc w:val="left"/>
      <w:pPr>
        <w:ind w:left="0" w:firstLine="0"/>
      </w:pPr>
      <w:rPr>
        <w:rFonts w:ascii="黑体" w:eastAsia="黑体" w:hAnsi="Times New Roman" w:hint="eastAsia"/>
        <w:b w:val="0"/>
        <w:bCs w:val="0"/>
        <w:i w:val="0"/>
        <w:iCs w:val="0"/>
        <w:sz w:val="21"/>
        <w:szCs w:val="21"/>
      </w:rPr>
    </w:lvl>
    <w:lvl w:ilvl="7">
      <w:start w:val="1"/>
      <w:numFmt w:val="decimal"/>
      <w:lvlText w:val="%1.%2.%3.%4.%5.%6.%7.%8"/>
      <w:lvlJc w:val="left"/>
      <w:pPr>
        <w:tabs>
          <w:tab w:val="left" w:pos="4351"/>
        </w:tabs>
        <w:ind w:left="0" w:firstLine="0"/>
      </w:pPr>
      <w:rPr>
        <w:rFonts w:hint="eastAsia"/>
      </w:rPr>
    </w:lvl>
    <w:lvl w:ilvl="8">
      <w:start w:val="1"/>
      <w:numFmt w:val="decimal"/>
      <w:lvlText w:val="%1.%2.%3.%4.%5.%6.%7.%8.%9"/>
      <w:lvlJc w:val="left"/>
      <w:pPr>
        <w:tabs>
          <w:tab w:val="left" w:pos="4777"/>
        </w:tabs>
        <w:ind w:left="0" w:firstLine="0"/>
      </w:pPr>
      <w:rPr>
        <w:rFonts w:hint="eastAsia"/>
      </w:rPr>
    </w:lvl>
  </w:abstractNum>
  <w:abstractNum w:abstractNumId="5">
    <w:nsid w:val="22827D5B"/>
    <w:multiLevelType w:val="multilevel"/>
    <w:tmpl w:val="22827D5B"/>
    <w:lvl w:ilvl="0">
      <w:start w:val="1"/>
      <w:numFmt w:val="none"/>
      <w:pStyle w:val="a8"/>
      <w:suff w:val="nothing"/>
      <w:lvlText w:val="%1注："/>
      <w:lvlJc w:val="left"/>
      <w:pPr>
        <w:ind w:left="726" w:hanging="363"/>
      </w:pPr>
      <w:rPr>
        <w:rFonts w:ascii="黑体" w:eastAsia="黑体" w:hAnsi="Times New Roman" w:hint="eastAsia"/>
        <w:b w:val="0"/>
        <w:bCs w:val="0"/>
        <w:i w:val="0"/>
        <w:iCs w:val="0"/>
        <w:sz w:val="18"/>
        <w:szCs w:val="18"/>
      </w:rPr>
    </w:lvl>
    <w:lvl w:ilvl="1">
      <w:start w:val="1"/>
      <w:numFmt w:val="lowerLetter"/>
      <w:lvlText w:val="%2)"/>
      <w:lvlJc w:val="left"/>
      <w:pPr>
        <w:tabs>
          <w:tab w:val="left" w:pos="1140"/>
        </w:tabs>
        <w:ind w:left="726" w:hanging="363"/>
      </w:pPr>
      <w:rPr>
        <w:rFonts w:hint="eastAsia"/>
      </w:rPr>
    </w:lvl>
    <w:lvl w:ilvl="2">
      <w:start w:val="1"/>
      <w:numFmt w:val="lowerRoman"/>
      <w:lvlText w:val="%3."/>
      <w:lvlJc w:val="right"/>
      <w:pPr>
        <w:tabs>
          <w:tab w:val="left" w:pos="1140"/>
        </w:tabs>
        <w:ind w:left="726" w:hanging="363"/>
      </w:pPr>
      <w:rPr>
        <w:rFonts w:hint="eastAsia"/>
      </w:rPr>
    </w:lvl>
    <w:lvl w:ilvl="3">
      <w:start w:val="1"/>
      <w:numFmt w:val="decimal"/>
      <w:lvlText w:val="%4."/>
      <w:lvlJc w:val="left"/>
      <w:pPr>
        <w:tabs>
          <w:tab w:val="left" w:pos="1140"/>
        </w:tabs>
        <w:ind w:left="726" w:hanging="363"/>
      </w:pPr>
      <w:rPr>
        <w:rFonts w:hint="eastAsia"/>
      </w:rPr>
    </w:lvl>
    <w:lvl w:ilvl="4">
      <w:start w:val="1"/>
      <w:numFmt w:val="lowerLetter"/>
      <w:lvlText w:val="%5)"/>
      <w:lvlJc w:val="left"/>
      <w:pPr>
        <w:tabs>
          <w:tab w:val="left" w:pos="1140"/>
        </w:tabs>
        <w:ind w:left="726" w:hanging="363"/>
      </w:pPr>
      <w:rPr>
        <w:rFonts w:hint="eastAsia"/>
      </w:rPr>
    </w:lvl>
    <w:lvl w:ilvl="5">
      <w:start w:val="1"/>
      <w:numFmt w:val="lowerRoman"/>
      <w:lvlText w:val="%6."/>
      <w:lvlJc w:val="right"/>
      <w:pPr>
        <w:tabs>
          <w:tab w:val="left" w:pos="1140"/>
        </w:tabs>
        <w:ind w:left="726" w:hanging="363"/>
      </w:pPr>
      <w:rPr>
        <w:rFonts w:hint="eastAsia"/>
      </w:rPr>
    </w:lvl>
    <w:lvl w:ilvl="6">
      <w:start w:val="1"/>
      <w:numFmt w:val="decimal"/>
      <w:lvlText w:val="%7."/>
      <w:lvlJc w:val="left"/>
      <w:pPr>
        <w:tabs>
          <w:tab w:val="left" w:pos="1140"/>
        </w:tabs>
        <w:ind w:left="726" w:hanging="363"/>
      </w:pPr>
      <w:rPr>
        <w:rFonts w:hint="eastAsia"/>
      </w:rPr>
    </w:lvl>
    <w:lvl w:ilvl="7">
      <w:start w:val="1"/>
      <w:numFmt w:val="lowerLetter"/>
      <w:lvlText w:val="%8)"/>
      <w:lvlJc w:val="left"/>
      <w:pPr>
        <w:tabs>
          <w:tab w:val="left" w:pos="1140"/>
        </w:tabs>
        <w:ind w:left="726" w:hanging="363"/>
      </w:pPr>
      <w:rPr>
        <w:rFonts w:hint="eastAsia"/>
      </w:rPr>
    </w:lvl>
    <w:lvl w:ilvl="8">
      <w:start w:val="1"/>
      <w:numFmt w:val="lowerRoman"/>
      <w:lvlText w:val="%9."/>
      <w:lvlJc w:val="right"/>
      <w:pPr>
        <w:tabs>
          <w:tab w:val="left" w:pos="1140"/>
        </w:tabs>
        <w:ind w:left="726" w:hanging="363"/>
      </w:pPr>
      <w:rPr>
        <w:rFonts w:hint="eastAsia"/>
      </w:rPr>
    </w:lvl>
  </w:abstractNum>
  <w:abstractNum w:abstractNumId="6">
    <w:nsid w:val="2A8F7113"/>
    <w:multiLevelType w:val="multilevel"/>
    <w:tmpl w:val="2A8F7113"/>
    <w:lvl w:ilvl="0">
      <w:start w:val="1"/>
      <w:numFmt w:val="upperLetter"/>
      <w:pStyle w:val="a9"/>
      <w:suff w:val="space"/>
      <w:lvlText w:val="%1"/>
      <w:lvlJc w:val="left"/>
      <w:pPr>
        <w:ind w:left="623" w:hanging="425"/>
      </w:pPr>
      <w:rPr>
        <w:rFonts w:hint="eastAsia"/>
      </w:rPr>
    </w:lvl>
    <w:lvl w:ilvl="1">
      <w:start w:val="1"/>
      <w:numFmt w:val="decimal"/>
      <w:pStyle w:val="aa"/>
      <w:suff w:val="nothing"/>
      <w:lvlText w:val="图%1.%2　"/>
      <w:lvlJc w:val="left"/>
      <w:pPr>
        <w:ind w:left="1190" w:hanging="567"/>
      </w:pPr>
      <w:rPr>
        <w:rFonts w:hint="eastAsia"/>
        <w:color w:val="FF0000"/>
      </w:rPr>
    </w:lvl>
    <w:lvl w:ilvl="2">
      <w:start w:val="1"/>
      <w:numFmt w:val="decimal"/>
      <w:lvlText w:val="%1.%2.%3"/>
      <w:lvlJc w:val="left"/>
      <w:pPr>
        <w:tabs>
          <w:tab w:val="left" w:pos="1616"/>
        </w:tabs>
        <w:ind w:left="1616" w:hanging="567"/>
      </w:pPr>
      <w:rPr>
        <w:rFonts w:hint="eastAsia"/>
      </w:rPr>
    </w:lvl>
    <w:lvl w:ilvl="3">
      <w:start w:val="1"/>
      <w:numFmt w:val="decimal"/>
      <w:lvlText w:val="%1.%2.%3.%4"/>
      <w:lvlJc w:val="left"/>
      <w:pPr>
        <w:tabs>
          <w:tab w:val="left" w:pos="2914"/>
        </w:tabs>
        <w:ind w:left="2182" w:hanging="708"/>
      </w:pPr>
      <w:rPr>
        <w:rFonts w:hint="eastAsia"/>
      </w:rPr>
    </w:lvl>
    <w:lvl w:ilvl="4">
      <w:start w:val="1"/>
      <w:numFmt w:val="decimal"/>
      <w:lvlText w:val="%1.%2.%3.%4.%5"/>
      <w:lvlJc w:val="left"/>
      <w:pPr>
        <w:tabs>
          <w:tab w:val="left" w:pos="3699"/>
        </w:tabs>
        <w:ind w:left="2749" w:hanging="850"/>
      </w:pPr>
      <w:rPr>
        <w:rFonts w:hint="eastAsia"/>
      </w:rPr>
    </w:lvl>
    <w:lvl w:ilvl="5">
      <w:start w:val="1"/>
      <w:numFmt w:val="decimal"/>
      <w:lvlText w:val="%1.%2.%3.%4.%5.%6"/>
      <w:lvlJc w:val="left"/>
      <w:pPr>
        <w:tabs>
          <w:tab w:val="left" w:pos="4484"/>
        </w:tabs>
        <w:ind w:left="3458" w:hanging="1134"/>
      </w:pPr>
      <w:rPr>
        <w:rFonts w:hint="eastAsia"/>
      </w:rPr>
    </w:lvl>
    <w:lvl w:ilvl="6">
      <w:start w:val="1"/>
      <w:numFmt w:val="decimal"/>
      <w:lvlText w:val="%1.%2.%3.%4.%5.%6.%7"/>
      <w:lvlJc w:val="left"/>
      <w:pPr>
        <w:tabs>
          <w:tab w:val="left" w:pos="5269"/>
        </w:tabs>
        <w:ind w:left="4025" w:hanging="1276"/>
      </w:pPr>
      <w:rPr>
        <w:rFonts w:hint="eastAsia"/>
      </w:rPr>
    </w:lvl>
    <w:lvl w:ilvl="7">
      <w:start w:val="1"/>
      <w:numFmt w:val="decimal"/>
      <w:lvlText w:val="%1.%2.%3.%4.%5.%6.%7.%8"/>
      <w:lvlJc w:val="left"/>
      <w:pPr>
        <w:tabs>
          <w:tab w:val="left" w:pos="6054"/>
        </w:tabs>
        <w:ind w:left="4592" w:hanging="1418"/>
      </w:pPr>
      <w:rPr>
        <w:rFonts w:hint="eastAsia"/>
      </w:rPr>
    </w:lvl>
    <w:lvl w:ilvl="8">
      <w:start w:val="1"/>
      <w:numFmt w:val="decimal"/>
      <w:lvlText w:val="%1.%2.%3.%4.%5.%6.%7.%8.%9"/>
      <w:lvlJc w:val="left"/>
      <w:pPr>
        <w:tabs>
          <w:tab w:val="left" w:pos="6840"/>
        </w:tabs>
        <w:ind w:left="5300" w:hanging="1700"/>
      </w:pPr>
      <w:rPr>
        <w:rFonts w:hint="eastAsia"/>
      </w:rPr>
    </w:lvl>
  </w:abstractNum>
  <w:abstractNum w:abstractNumId="7">
    <w:nsid w:val="2C5917C3"/>
    <w:multiLevelType w:val="multilevel"/>
    <w:tmpl w:val="2C5917C3"/>
    <w:lvl w:ilvl="0">
      <w:start w:val="1"/>
      <w:numFmt w:val="none"/>
      <w:pStyle w:val="ab"/>
      <w:suff w:val="nothing"/>
      <w:lvlText w:val="%1——"/>
      <w:lvlJc w:val="left"/>
      <w:pPr>
        <w:ind w:left="833" w:hanging="408"/>
      </w:pPr>
      <w:rPr>
        <w:rFonts w:hint="eastAsia"/>
      </w:rPr>
    </w:lvl>
    <w:lvl w:ilvl="1">
      <w:start w:val="1"/>
      <w:numFmt w:val="bullet"/>
      <w:pStyle w:val="ac"/>
      <w:lvlText w:val=""/>
      <w:lvlJc w:val="left"/>
      <w:pPr>
        <w:tabs>
          <w:tab w:val="left" w:pos="760"/>
        </w:tabs>
        <w:ind w:left="1264" w:hanging="413"/>
      </w:pPr>
      <w:rPr>
        <w:rFonts w:ascii="Symbol" w:hAnsi="Symbol" w:cs="Symbol" w:hint="default"/>
        <w:color w:val="auto"/>
      </w:rPr>
    </w:lvl>
    <w:lvl w:ilvl="2">
      <w:start w:val="1"/>
      <w:numFmt w:val="bullet"/>
      <w:pStyle w:val="ad"/>
      <w:lvlText w:val=""/>
      <w:lvlJc w:val="left"/>
      <w:pPr>
        <w:tabs>
          <w:tab w:val="left" w:pos="1678"/>
        </w:tabs>
        <w:ind w:left="1678" w:hanging="414"/>
      </w:pPr>
      <w:rPr>
        <w:rFonts w:ascii="Symbol" w:hAnsi="Symbol" w:cs="Symbol" w:hint="default"/>
        <w:color w:val="auto"/>
      </w:rPr>
    </w:lvl>
    <w:lvl w:ilvl="3">
      <w:start w:val="1"/>
      <w:numFmt w:val="decimal"/>
      <w:lvlText w:val="%4."/>
      <w:lvlJc w:val="left"/>
      <w:pPr>
        <w:tabs>
          <w:tab w:val="left" w:pos="2071"/>
        </w:tabs>
        <w:ind w:left="1884" w:hanging="528"/>
      </w:pPr>
      <w:rPr>
        <w:rFonts w:hint="eastAsia"/>
      </w:rPr>
    </w:lvl>
    <w:lvl w:ilvl="4">
      <w:start w:val="1"/>
      <w:numFmt w:val="lowerLetter"/>
      <w:lvlText w:val="%5)"/>
      <w:lvlJc w:val="left"/>
      <w:pPr>
        <w:tabs>
          <w:tab w:val="left" w:pos="2383"/>
        </w:tabs>
        <w:ind w:left="2196" w:hanging="528"/>
      </w:pPr>
      <w:rPr>
        <w:rFonts w:hint="eastAsia"/>
      </w:rPr>
    </w:lvl>
    <w:lvl w:ilvl="5">
      <w:start w:val="1"/>
      <w:numFmt w:val="lowerRoman"/>
      <w:lvlText w:val="%6."/>
      <w:lvlJc w:val="right"/>
      <w:pPr>
        <w:tabs>
          <w:tab w:val="left" w:pos="2695"/>
        </w:tabs>
        <w:ind w:left="2508" w:hanging="528"/>
      </w:pPr>
      <w:rPr>
        <w:rFonts w:hint="eastAsia"/>
      </w:rPr>
    </w:lvl>
    <w:lvl w:ilvl="6">
      <w:start w:val="1"/>
      <w:numFmt w:val="decimal"/>
      <w:lvlText w:val="%7."/>
      <w:lvlJc w:val="left"/>
      <w:pPr>
        <w:tabs>
          <w:tab w:val="left" w:pos="3007"/>
        </w:tabs>
        <w:ind w:left="2820" w:hanging="528"/>
      </w:pPr>
      <w:rPr>
        <w:rFonts w:hint="eastAsia"/>
      </w:rPr>
    </w:lvl>
    <w:lvl w:ilvl="7">
      <w:start w:val="1"/>
      <w:numFmt w:val="lowerLetter"/>
      <w:lvlText w:val="%8)"/>
      <w:lvlJc w:val="left"/>
      <w:pPr>
        <w:tabs>
          <w:tab w:val="left" w:pos="3319"/>
        </w:tabs>
        <w:ind w:left="3132" w:hanging="528"/>
      </w:pPr>
      <w:rPr>
        <w:rFonts w:hint="eastAsia"/>
      </w:rPr>
    </w:lvl>
    <w:lvl w:ilvl="8">
      <w:start w:val="1"/>
      <w:numFmt w:val="lowerRoman"/>
      <w:lvlText w:val="%9."/>
      <w:lvlJc w:val="right"/>
      <w:pPr>
        <w:tabs>
          <w:tab w:val="left" w:pos="3631"/>
        </w:tabs>
        <w:ind w:left="3444" w:hanging="528"/>
      </w:pPr>
      <w:rPr>
        <w:rFonts w:hint="eastAsia"/>
      </w:rPr>
    </w:lvl>
  </w:abstractNum>
  <w:abstractNum w:abstractNumId="8">
    <w:nsid w:val="3D733618"/>
    <w:multiLevelType w:val="multilevel"/>
    <w:tmpl w:val="3D733618"/>
    <w:lvl w:ilvl="0">
      <w:start w:val="1"/>
      <w:numFmt w:val="decimal"/>
      <w:pStyle w:val="ae"/>
      <w:lvlText w:val="%1）"/>
      <w:lvlJc w:val="left"/>
      <w:pPr>
        <w:tabs>
          <w:tab w:val="left" w:pos="0"/>
        </w:tabs>
        <w:ind w:left="720" w:hanging="357"/>
      </w:pPr>
      <w:rPr>
        <w:rFonts w:ascii="Times New Roman" w:eastAsia="宋体" w:hAnsi="Times New Roman" w:cs="Times New Roman" w:hint="eastAsia"/>
      </w:rPr>
    </w:lvl>
    <w:lvl w:ilvl="1">
      <w:start w:val="1"/>
      <w:numFmt w:val="lowerLetter"/>
      <w:lvlText w:val="%2)"/>
      <w:lvlJc w:val="left"/>
      <w:pPr>
        <w:tabs>
          <w:tab w:val="left" w:pos="504"/>
        </w:tabs>
        <w:ind w:left="544" w:hanging="544"/>
      </w:pPr>
      <w:rPr>
        <w:rFonts w:hint="eastAsia"/>
      </w:rPr>
    </w:lvl>
    <w:lvl w:ilvl="2">
      <w:start w:val="1"/>
      <w:numFmt w:val="lowerRoman"/>
      <w:lvlText w:val="%3."/>
      <w:lvlJc w:val="right"/>
      <w:pPr>
        <w:tabs>
          <w:tab w:val="left" w:pos="532"/>
        </w:tabs>
        <w:ind w:left="544" w:hanging="544"/>
      </w:pPr>
      <w:rPr>
        <w:rFonts w:hint="eastAsia"/>
      </w:rPr>
    </w:lvl>
    <w:lvl w:ilvl="3">
      <w:start w:val="1"/>
      <w:numFmt w:val="decimal"/>
      <w:lvlText w:val="%4."/>
      <w:lvlJc w:val="left"/>
      <w:pPr>
        <w:tabs>
          <w:tab w:val="left" w:pos="560"/>
        </w:tabs>
        <w:ind w:left="544" w:hanging="544"/>
      </w:pPr>
      <w:rPr>
        <w:rFonts w:hint="eastAsia"/>
      </w:rPr>
    </w:lvl>
    <w:lvl w:ilvl="4">
      <w:start w:val="1"/>
      <w:numFmt w:val="lowerLetter"/>
      <w:lvlText w:val="%5)"/>
      <w:lvlJc w:val="left"/>
      <w:pPr>
        <w:tabs>
          <w:tab w:val="left" w:pos="588"/>
        </w:tabs>
        <w:ind w:left="544" w:hanging="544"/>
      </w:pPr>
      <w:rPr>
        <w:rFonts w:hint="eastAsia"/>
      </w:rPr>
    </w:lvl>
    <w:lvl w:ilvl="5">
      <w:start w:val="1"/>
      <w:numFmt w:val="lowerRoman"/>
      <w:lvlText w:val="%6."/>
      <w:lvlJc w:val="right"/>
      <w:pPr>
        <w:tabs>
          <w:tab w:val="left" w:pos="616"/>
        </w:tabs>
        <w:ind w:left="544" w:hanging="544"/>
      </w:pPr>
      <w:rPr>
        <w:rFonts w:hint="eastAsia"/>
      </w:rPr>
    </w:lvl>
    <w:lvl w:ilvl="6">
      <w:start w:val="1"/>
      <w:numFmt w:val="decimal"/>
      <w:lvlText w:val="%7."/>
      <w:lvlJc w:val="left"/>
      <w:pPr>
        <w:tabs>
          <w:tab w:val="left" w:pos="644"/>
        </w:tabs>
        <w:ind w:left="544" w:hanging="544"/>
      </w:pPr>
      <w:rPr>
        <w:rFonts w:hint="eastAsia"/>
      </w:rPr>
    </w:lvl>
    <w:lvl w:ilvl="7">
      <w:start w:val="1"/>
      <w:numFmt w:val="lowerLetter"/>
      <w:lvlText w:val="%8)"/>
      <w:lvlJc w:val="left"/>
      <w:pPr>
        <w:tabs>
          <w:tab w:val="left" w:pos="672"/>
        </w:tabs>
        <w:ind w:left="544" w:hanging="544"/>
      </w:pPr>
      <w:rPr>
        <w:rFonts w:hint="eastAsia"/>
      </w:rPr>
    </w:lvl>
    <w:lvl w:ilvl="8">
      <w:start w:val="1"/>
      <w:numFmt w:val="lowerRoman"/>
      <w:lvlText w:val="%9."/>
      <w:lvlJc w:val="right"/>
      <w:pPr>
        <w:tabs>
          <w:tab w:val="left" w:pos="700"/>
        </w:tabs>
        <w:ind w:left="544" w:hanging="544"/>
      </w:pPr>
      <w:rPr>
        <w:rFonts w:hint="eastAsia"/>
      </w:rPr>
    </w:lvl>
  </w:abstractNum>
  <w:abstractNum w:abstractNumId="9">
    <w:nsid w:val="44C50F90"/>
    <w:multiLevelType w:val="multilevel"/>
    <w:tmpl w:val="44C50F90"/>
    <w:lvl w:ilvl="0">
      <w:start w:val="1"/>
      <w:numFmt w:val="lowerLetter"/>
      <w:pStyle w:val="af"/>
      <w:lvlText w:val="%1)"/>
      <w:lvlJc w:val="left"/>
      <w:pPr>
        <w:tabs>
          <w:tab w:val="left" w:pos="840"/>
        </w:tabs>
        <w:ind w:left="839" w:hanging="419"/>
      </w:pPr>
      <w:rPr>
        <w:rFonts w:ascii="宋体" w:eastAsia="宋体" w:hint="eastAsia"/>
        <w:b w:val="0"/>
        <w:bCs w:val="0"/>
        <w:i w:val="0"/>
        <w:iCs w:val="0"/>
        <w:strike w:val="0"/>
        <w:dstrike w:val="0"/>
        <w:color w:val="auto"/>
        <w:sz w:val="21"/>
        <w:szCs w:val="21"/>
      </w:rPr>
    </w:lvl>
    <w:lvl w:ilvl="1">
      <w:start w:val="1"/>
      <w:numFmt w:val="decimal"/>
      <w:pStyle w:val="af0"/>
      <w:lvlText w:val="%2)"/>
      <w:lvlJc w:val="left"/>
      <w:pPr>
        <w:tabs>
          <w:tab w:val="left" w:pos="1260"/>
        </w:tabs>
        <w:ind w:left="1259" w:hanging="419"/>
      </w:pPr>
      <w:rPr>
        <w:rFonts w:hint="eastAsia"/>
      </w:rPr>
    </w:lvl>
    <w:lvl w:ilvl="2">
      <w:start w:val="1"/>
      <w:numFmt w:val="decimal"/>
      <w:lvlText w:val="(%3)"/>
      <w:lvlJc w:val="left"/>
      <w:pPr>
        <w:tabs>
          <w:tab w:val="left" w:pos="0"/>
        </w:tabs>
        <w:ind w:left="1679" w:hanging="420"/>
      </w:pPr>
      <w:rPr>
        <w:rFonts w:ascii="宋体" w:eastAsia="宋体" w:hint="eastAsia"/>
        <w:b w:val="0"/>
        <w:bCs w:val="0"/>
        <w:i w:val="0"/>
        <w:iCs w:val="0"/>
        <w:sz w:val="21"/>
        <w:szCs w:val="21"/>
      </w:rPr>
    </w:lvl>
    <w:lvl w:ilvl="3">
      <w:start w:val="1"/>
      <w:numFmt w:val="decimal"/>
      <w:lvlText w:val="%4."/>
      <w:lvlJc w:val="left"/>
      <w:pPr>
        <w:tabs>
          <w:tab w:val="left" w:pos="2100"/>
        </w:tabs>
        <w:ind w:left="2099" w:hanging="419"/>
      </w:pPr>
      <w:rPr>
        <w:rFonts w:hint="eastAsia"/>
      </w:rPr>
    </w:lvl>
    <w:lvl w:ilvl="4">
      <w:start w:val="1"/>
      <w:numFmt w:val="lowerLetter"/>
      <w:lvlText w:val="%5)"/>
      <w:lvlJc w:val="left"/>
      <w:pPr>
        <w:tabs>
          <w:tab w:val="left" w:pos="2520"/>
        </w:tabs>
        <w:ind w:left="2519" w:hanging="419"/>
      </w:pPr>
      <w:rPr>
        <w:rFonts w:hint="eastAsia"/>
      </w:rPr>
    </w:lvl>
    <w:lvl w:ilvl="5">
      <w:start w:val="1"/>
      <w:numFmt w:val="lowerRoman"/>
      <w:lvlText w:val="%6."/>
      <w:lvlJc w:val="right"/>
      <w:pPr>
        <w:tabs>
          <w:tab w:val="left" w:pos="2940"/>
        </w:tabs>
        <w:ind w:left="2939" w:hanging="419"/>
      </w:pPr>
      <w:rPr>
        <w:rFonts w:hint="eastAsia"/>
      </w:rPr>
    </w:lvl>
    <w:lvl w:ilvl="6">
      <w:start w:val="1"/>
      <w:numFmt w:val="decimal"/>
      <w:lvlText w:val="%7."/>
      <w:lvlJc w:val="left"/>
      <w:pPr>
        <w:tabs>
          <w:tab w:val="left" w:pos="3360"/>
        </w:tabs>
        <w:ind w:left="3359" w:hanging="419"/>
      </w:pPr>
      <w:rPr>
        <w:rFonts w:hint="eastAsia"/>
      </w:rPr>
    </w:lvl>
    <w:lvl w:ilvl="7">
      <w:start w:val="1"/>
      <w:numFmt w:val="lowerLetter"/>
      <w:lvlText w:val="%8)"/>
      <w:lvlJc w:val="left"/>
      <w:pPr>
        <w:tabs>
          <w:tab w:val="left" w:pos="3780"/>
        </w:tabs>
        <w:ind w:left="3779" w:hanging="419"/>
      </w:pPr>
      <w:rPr>
        <w:rFonts w:hint="eastAsia"/>
      </w:rPr>
    </w:lvl>
    <w:lvl w:ilvl="8">
      <w:start w:val="1"/>
      <w:numFmt w:val="lowerRoman"/>
      <w:lvlText w:val="%9."/>
      <w:lvlJc w:val="right"/>
      <w:pPr>
        <w:tabs>
          <w:tab w:val="left" w:pos="4200"/>
        </w:tabs>
        <w:ind w:left="4199" w:hanging="419"/>
      </w:pPr>
      <w:rPr>
        <w:rFonts w:hint="eastAsia"/>
      </w:rPr>
    </w:lvl>
  </w:abstractNum>
  <w:abstractNum w:abstractNumId="10">
    <w:nsid w:val="4B733A5F"/>
    <w:multiLevelType w:val="multilevel"/>
    <w:tmpl w:val="4B733A5F"/>
    <w:lvl w:ilvl="0">
      <w:start w:val="1"/>
      <w:numFmt w:val="decimal"/>
      <w:pStyle w:val="af1"/>
      <w:suff w:val="nothing"/>
      <w:lvlText w:val="示例%1："/>
      <w:lvlJc w:val="left"/>
      <w:pPr>
        <w:ind w:firstLine="363"/>
      </w:pPr>
      <w:rPr>
        <w:rFonts w:ascii="黑体" w:eastAsia="黑体" w:hAnsi="Times New Roman" w:hint="eastAsia"/>
        <w:b w:val="0"/>
        <w:bCs w:val="0"/>
        <w:i w:val="0"/>
        <w:iCs w:val="0"/>
        <w:sz w:val="18"/>
        <w:szCs w:val="18"/>
        <w:vertAlign w:val="baseline"/>
      </w:rPr>
    </w:lvl>
    <w:lvl w:ilvl="1">
      <w:start w:val="1"/>
      <w:numFmt w:val="none"/>
      <w:suff w:val="space"/>
      <w:lvlText w:val=""/>
      <w:lvlJc w:val="left"/>
      <w:rPr>
        <w:rFonts w:hint="eastAsia"/>
        <w:vertAlign w:val="baseline"/>
      </w:rPr>
    </w:lvl>
    <w:lvl w:ilvl="2">
      <w:start w:val="1"/>
      <w:numFmt w:val="decimal"/>
      <w:suff w:val="space"/>
      <w:lvlText w:val="2.2.%3"/>
      <w:lvlJc w:val="left"/>
      <w:rPr>
        <w:rFonts w:hint="eastAsia"/>
        <w:vertAlign w:val="baseline"/>
      </w:rPr>
    </w:lvl>
    <w:lvl w:ilvl="3">
      <w:start w:val="1"/>
      <w:numFmt w:val="decimal"/>
      <w:lvlText w:val="%4."/>
      <w:lvlJc w:val="left"/>
      <w:pPr>
        <w:tabs>
          <w:tab w:val="left" w:pos="0"/>
        </w:tabs>
        <w:ind w:left="992" w:hanging="629"/>
      </w:pPr>
      <w:rPr>
        <w:rFonts w:hint="eastAsia"/>
        <w:vertAlign w:val="baseline"/>
      </w:rPr>
    </w:lvl>
    <w:lvl w:ilvl="4">
      <w:start w:val="1"/>
      <w:numFmt w:val="lowerLetter"/>
      <w:lvlText w:val="%5)"/>
      <w:lvlJc w:val="left"/>
      <w:pPr>
        <w:tabs>
          <w:tab w:val="left" w:pos="0"/>
        </w:tabs>
        <w:ind w:left="992" w:hanging="629"/>
      </w:pPr>
      <w:rPr>
        <w:rFonts w:hint="eastAsia"/>
        <w:vertAlign w:val="baseline"/>
      </w:rPr>
    </w:lvl>
    <w:lvl w:ilvl="5">
      <w:start w:val="1"/>
      <w:numFmt w:val="lowerRoman"/>
      <w:lvlText w:val="%6."/>
      <w:lvlJc w:val="right"/>
      <w:pPr>
        <w:tabs>
          <w:tab w:val="left" w:pos="0"/>
        </w:tabs>
        <w:ind w:left="992" w:hanging="629"/>
      </w:pPr>
      <w:rPr>
        <w:rFonts w:hint="eastAsia"/>
        <w:vertAlign w:val="baseline"/>
      </w:rPr>
    </w:lvl>
    <w:lvl w:ilvl="6">
      <w:start w:val="1"/>
      <w:numFmt w:val="decimal"/>
      <w:lvlText w:val="%7."/>
      <w:lvlJc w:val="left"/>
      <w:pPr>
        <w:tabs>
          <w:tab w:val="left" w:pos="0"/>
        </w:tabs>
        <w:ind w:left="992" w:hanging="629"/>
      </w:pPr>
      <w:rPr>
        <w:rFonts w:hint="eastAsia"/>
        <w:vertAlign w:val="baseline"/>
      </w:rPr>
    </w:lvl>
    <w:lvl w:ilvl="7">
      <w:start w:val="1"/>
      <w:numFmt w:val="lowerLetter"/>
      <w:lvlText w:val="%8)"/>
      <w:lvlJc w:val="left"/>
      <w:pPr>
        <w:tabs>
          <w:tab w:val="left" w:pos="0"/>
        </w:tabs>
        <w:ind w:left="992" w:hanging="629"/>
      </w:pPr>
      <w:rPr>
        <w:rFonts w:hint="eastAsia"/>
        <w:vertAlign w:val="baseline"/>
      </w:rPr>
    </w:lvl>
    <w:lvl w:ilvl="8">
      <w:start w:val="1"/>
      <w:numFmt w:val="lowerRoman"/>
      <w:lvlText w:val="%9."/>
      <w:lvlJc w:val="right"/>
      <w:pPr>
        <w:tabs>
          <w:tab w:val="left" w:pos="0"/>
        </w:tabs>
        <w:ind w:left="992" w:hanging="629"/>
      </w:pPr>
      <w:rPr>
        <w:rFonts w:hint="eastAsia"/>
        <w:vertAlign w:val="baseline"/>
      </w:rPr>
    </w:lvl>
  </w:abstractNum>
  <w:abstractNum w:abstractNumId="11">
    <w:nsid w:val="60B55DC2"/>
    <w:multiLevelType w:val="multilevel"/>
    <w:tmpl w:val="60B55DC2"/>
    <w:lvl w:ilvl="0">
      <w:start w:val="1"/>
      <w:numFmt w:val="upperLetter"/>
      <w:pStyle w:val="af2"/>
      <w:lvlText w:val="%1"/>
      <w:lvlJc w:val="left"/>
      <w:pPr>
        <w:tabs>
          <w:tab w:val="left" w:pos="0"/>
        </w:tabs>
        <w:ind w:hanging="425"/>
      </w:pPr>
      <w:rPr>
        <w:rFonts w:hint="eastAsia"/>
      </w:rPr>
    </w:lvl>
    <w:lvl w:ilvl="1">
      <w:start w:val="1"/>
      <w:numFmt w:val="decimal"/>
      <w:pStyle w:val="af3"/>
      <w:suff w:val="nothing"/>
      <w:lvlText w:val="表%1.%2　"/>
      <w:lvlJc w:val="left"/>
      <w:pPr>
        <w:ind w:left="1197" w:hanging="567"/>
      </w:pPr>
      <w:rPr>
        <w:rFonts w:hint="eastAsia"/>
        <w:color w:val="auto"/>
      </w:rPr>
    </w:lvl>
    <w:lvl w:ilvl="2">
      <w:start w:val="1"/>
      <w:numFmt w:val="decimal"/>
      <w:lvlText w:val="%1.%2.%3"/>
      <w:lvlJc w:val="left"/>
      <w:pPr>
        <w:tabs>
          <w:tab w:val="left" w:pos="993"/>
        </w:tabs>
        <w:ind w:left="993" w:hanging="567"/>
      </w:pPr>
      <w:rPr>
        <w:rFonts w:hint="eastAsia"/>
      </w:rPr>
    </w:lvl>
    <w:lvl w:ilvl="3">
      <w:start w:val="1"/>
      <w:numFmt w:val="decimal"/>
      <w:lvlText w:val="%1.%2.%3.%4"/>
      <w:lvlJc w:val="left"/>
      <w:pPr>
        <w:tabs>
          <w:tab w:val="left" w:pos="2291"/>
        </w:tabs>
        <w:ind w:left="1559" w:hanging="708"/>
      </w:pPr>
      <w:rPr>
        <w:rFonts w:hint="eastAsia"/>
      </w:rPr>
    </w:lvl>
    <w:lvl w:ilvl="4">
      <w:start w:val="1"/>
      <w:numFmt w:val="decimal"/>
      <w:lvlText w:val="%1.%2.%3.%4.%5"/>
      <w:lvlJc w:val="left"/>
      <w:pPr>
        <w:tabs>
          <w:tab w:val="left" w:pos="3076"/>
        </w:tabs>
        <w:ind w:left="2126" w:hanging="850"/>
      </w:pPr>
      <w:rPr>
        <w:rFonts w:hint="eastAsia"/>
      </w:rPr>
    </w:lvl>
    <w:lvl w:ilvl="5">
      <w:start w:val="1"/>
      <w:numFmt w:val="decimal"/>
      <w:lvlText w:val="%1.%2.%3.%4.%5.%6"/>
      <w:lvlJc w:val="left"/>
      <w:pPr>
        <w:tabs>
          <w:tab w:val="left" w:pos="3861"/>
        </w:tabs>
        <w:ind w:left="2835" w:hanging="1134"/>
      </w:pPr>
      <w:rPr>
        <w:rFonts w:hint="eastAsia"/>
      </w:rPr>
    </w:lvl>
    <w:lvl w:ilvl="6">
      <w:start w:val="1"/>
      <w:numFmt w:val="decimal"/>
      <w:lvlText w:val="%1.%2.%3.%4.%5.%6.%7"/>
      <w:lvlJc w:val="left"/>
      <w:pPr>
        <w:tabs>
          <w:tab w:val="left" w:pos="4646"/>
        </w:tabs>
        <w:ind w:left="3402" w:hanging="1276"/>
      </w:pPr>
      <w:rPr>
        <w:rFonts w:hint="eastAsia"/>
      </w:rPr>
    </w:lvl>
    <w:lvl w:ilvl="7">
      <w:start w:val="1"/>
      <w:numFmt w:val="decimal"/>
      <w:lvlText w:val="%1.%2.%3.%4.%5.%6.%7.%8"/>
      <w:lvlJc w:val="left"/>
      <w:pPr>
        <w:tabs>
          <w:tab w:val="left" w:pos="5431"/>
        </w:tabs>
        <w:ind w:left="3969" w:hanging="1418"/>
      </w:pPr>
      <w:rPr>
        <w:rFonts w:hint="eastAsia"/>
      </w:rPr>
    </w:lvl>
    <w:lvl w:ilvl="8">
      <w:start w:val="1"/>
      <w:numFmt w:val="decimal"/>
      <w:lvlText w:val="%1.%2.%3.%4.%5.%6.%7.%8.%9"/>
      <w:lvlJc w:val="left"/>
      <w:pPr>
        <w:tabs>
          <w:tab w:val="left" w:pos="6217"/>
        </w:tabs>
        <w:ind w:left="4677" w:hanging="1700"/>
      </w:pPr>
      <w:rPr>
        <w:rFonts w:hint="eastAsia"/>
      </w:rPr>
    </w:lvl>
  </w:abstractNum>
  <w:abstractNum w:abstractNumId="12">
    <w:nsid w:val="646260FA"/>
    <w:multiLevelType w:val="multilevel"/>
    <w:tmpl w:val="646260FA"/>
    <w:lvl w:ilvl="0">
      <w:start w:val="1"/>
      <w:numFmt w:val="decimal"/>
      <w:pStyle w:val="af4"/>
      <w:suff w:val="nothing"/>
      <w:lvlText w:val="表%1　"/>
      <w:lvlJc w:val="left"/>
      <w:pPr>
        <w:ind w:left="3118" w:firstLine="0"/>
      </w:pPr>
      <w:rPr>
        <w:rFonts w:ascii="黑体" w:eastAsia="黑体" w:hAnsi="Times New Roman" w:hint="eastAsia"/>
        <w:b w:val="0"/>
        <w:bCs w:val="0"/>
        <w:i w:val="0"/>
        <w:iCs w:val="0"/>
        <w:sz w:val="21"/>
        <w:szCs w:val="21"/>
        <w:lang w:val="en-US"/>
      </w:rPr>
    </w:lvl>
    <w:lvl w:ilvl="1">
      <w:start w:val="1"/>
      <w:numFmt w:val="decimal"/>
      <w:lvlText w:val="%1.%2"/>
      <w:lvlJc w:val="left"/>
      <w:pPr>
        <w:tabs>
          <w:tab w:val="left" w:pos="565"/>
        </w:tabs>
        <w:ind w:left="565" w:hanging="567"/>
      </w:pPr>
      <w:rPr>
        <w:rFonts w:hint="eastAsia"/>
      </w:rPr>
    </w:lvl>
    <w:lvl w:ilvl="2">
      <w:start w:val="1"/>
      <w:numFmt w:val="decimal"/>
      <w:lvlText w:val="%1.%2.%3"/>
      <w:lvlJc w:val="left"/>
      <w:pPr>
        <w:tabs>
          <w:tab w:val="left" w:pos="991"/>
        </w:tabs>
        <w:ind w:left="991" w:hanging="567"/>
      </w:pPr>
      <w:rPr>
        <w:rFonts w:hint="eastAsia"/>
      </w:rPr>
    </w:lvl>
    <w:lvl w:ilvl="3">
      <w:start w:val="1"/>
      <w:numFmt w:val="decimal"/>
      <w:lvlText w:val="%1.%2.%3.%4"/>
      <w:lvlJc w:val="left"/>
      <w:pPr>
        <w:tabs>
          <w:tab w:val="left" w:pos="1557"/>
        </w:tabs>
        <w:ind w:left="1557" w:hanging="708"/>
      </w:pPr>
      <w:rPr>
        <w:rFonts w:hint="eastAsia"/>
      </w:rPr>
    </w:lvl>
    <w:lvl w:ilvl="4">
      <w:start w:val="1"/>
      <w:numFmt w:val="decimal"/>
      <w:lvlText w:val="%1.%2.%3.%4.%5"/>
      <w:lvlJc w:val="left"/>
      <w:pPr>
        <w:tabs>
          <w:tab w:val="left" w:pos="2124"/>
        </w:tabs>
        <w:ind w:left="2124" w:hanging="850"/>
      </w:pPr>
      <w:rPr>
        <w:rFonts w:hint="eastAsia"/>
      </w:rPr>
    </w:lvl>
    <w:lvl w:ilvl="5">
      <w:start w:val="1"/>
      <w:numFmt w:val="decimal"/>
      <w:lvlText w:val="%1.%2.%3.%4.%5.%6"/>
      <w:lvlJc w:val="left"/>
      <w:pPr>
        <w:tabs>
          <w:tab w:val="left" w:pos="2833"/>
        </w:tabs>
        <w:ind w:left="2833" w:hanging="1134"/>
      </w:pPr>
      <w:rPr>
        <w:rFonts w:hint="eastAsia"/>
      </w:rPr>
    </w:lvl>
    <w:lvl w:ilvl="6">
      <w:start w:val="1"/>
      <w:numFmt w:val="decimal"/>
      <w:lvlText w:val="%1.%2.%3.%4.%5.%6.%7"/>
      <w:lvlJc w:val="left"/>
      <w:pPr>
        <w:tabs>
          <w:tab w:val="left" w:pos="3400"/>
        </w:tabs>
        <w:ind w:left="3400" w:hanging="1276"/>
      </w:pPr>
      <w:rPr>
        <w:rFonts w:hint="eastAsia"/>
      </w:rPr>
    </w:lvl>
    <w:lvl w:ilvl="7">
      <w:start w:val="1"/>
      <w:numFmt w:val="decimal"/>
      <w:lvlText w:val="%1.%2.%3.%4.%5.%6.%7.%8"/>
      <w:lvlJc w:val="left"/>
      <w:pPr>
        <w:tabs>
          <w:tab w:val="left" w:pos="3967"/>
        </w:tabs>
        <w:ind w:left="3967" w:hanging="1418"/>
      </w:pPr>
      <w:rPr>
        <w:rFonts w:hint="eastAsia"/>
      </w:rPr>
    </w:lvl>
    <w:lvl w:ilvl="8">
      <w:start w:val="1"/>
      <w:numFmt w:val="decimal"/>
      <w:lvlText w:val="%1.%2.%3.%4.%5.%6.%7.%8.%9"/>
      <w:lvlJc w:val="left"/>
      <w:pPr>
        <w:tabs>
          <w:tab w:val="left" w:pos="4675"/>
        </w:tabs>
        <w:ind w:left="4675" w:hanging="1700"/>
      </w:pPr>
      <w:rPr>
        <w:rFonts w:hint="eastAsia"/>
      </w:rPr>
    </w:lvl>
  </w:abstractNum>
  <w:abstractNum w:abstractNumId="13">
    <w:nsid w:val="657D3FBC"/>
    <w:multiLevelType w:val="multilevel"/>
    <w:tmpl w:val="657D3FBC"/>
    <w:lvl w:ilvl="0">
      <w:start w:val="1"/>
      <w:numFmt w:val="upperLetter"/>
      <w:pStyle w:val="af5"/>
      <w:suff w:val="nothing"/>
      <w:lvlText w:val="附　录　%1"/>
      <w:lvlJc w:val="left"/>
      <w:rPr>
        <w:rFonts w:ascii="黑体" w:eastAsia="黑体" w:hAnsi="Times New Roman" w:hint="eastAsia"/>
        <w:b w:val="0"/>
        <w:bCs w:val="0"/>
        <w:i w:val="0"/>
        <w:iCs w:val="0"/>
        <w:color w:val="000000"/>
        <w:spacing w:val="0"/>
        <w:w w:val="100"/>
        <w:sz w:val="21"/>
        <w:szCs w:val="21"/>
      </w:rPr>
    </w:lvl>
    <w:lvl w:ilvl="1">
      <w:start w:val="1"/>
      <w:numFmt w:val="decimal"/>
      <w:pStyle w:val="af6"/>
      <w:suff w:val="nothing"/>
      <w:lvlText w:val="%1.%2　"/>
      <w:lvlJc w:val="left"/>
      <w:rPr>
        <w:rFonts w:ascii="黑体" w:eastAsia="黑体" w:hAnsi="Times New Roman" w:hint="eastAsia"/>
        <w:b w:val="0"/>
        <w:bCs w:val="0"/>
        <w:i w:val="0"/>
        <w:iCs w:val="0"/>
        <w:snapToGrid/>
        <w:spacing w:val="0"/>
        <w:w w:val="100"/>
        <w:kern w:val="21"/>
        <w:sz w:val="21"/>
        <w:szCs w:val="21"/>
      </w:rPr>
    </w:lvl>
    <w:lvl w:ilvl="2">
      <w:start w:val="1"/>
      <w:numFmt w:val="decimal"/>
      <w:pStyle w:val="af7"/>
      <w:suff w:val="nothing"/>
      <w:lvlText w:val="%1.%2.%3　"/>
      <w:lvlJc w:val="left"/>
      <w:rPr>
        <w:rFonts w:ascii="黑体" w:eastAsia="黑体" w:hAnsi="Times New Roman" w:hint="eastAsia"/>
        <w:b w:val="0"/>
        <w:bCs w:val="0"/>
        <w:i w:val="0"/>
        <w:iCs w:val="0"/>
        <w:sz w:val="21"/>
        <w:szCs w:val="21"/>
      </w:rPr>
    </w:lvl>
    <w:lvl w:ilvl="3">
      <w:start w:val="1"/>
      <w:numFmt w:val="decimal"/>
      <w:pStyle w:val="af8"/>
      <w:suff w:val="nothing"/>
      <w:lvlText w:val="%1.%2.%3.%4　"/>
      <w:lvlJc w:val="left"/>
      <w:rPr>
        <w:rFonts w:ascii="黑体" w:eastAsia="黑体" w:hAnsi="Times New Roman" w:hint="eastAsia"/>
        <w:b w:val="0"/>
        <w:bCs w:val="0"/>
        <w:i w:val="0"/>
        <w:iCs w:val="0"/>
        <w:sz w:val="21"/>
        <w:szCs w:val="21"/>
      </w:rPr>
    </w:lvl>
    <w:lvl w:ilvl="4">
      <w:start w:val="1"/>
      <w:numFmt w:val="decimal"/>
      <w:pStyle w:val="af9"/>
      <w:suff w:val="nothing"/>
      <w:lvlText w:val="%1.%2.%3.%4.%5　"/>
      <w:lvlJc w:val="left"/>
      <w:rPr>
        <w:rFonts w:ascii="黑体" w:eastAsia="黑体" w:hAnsi="Times New Roman" w:hint="eastAsia"/>
        <w:b w:val="0"/>
        <w:bCs w:val="0"/>
        <w:i w:val="0"/>
        <w:iCs w:val="0"/>
        <w:sz w:val="21"/>
        <w:szCs w:val="21"/>
      </w:rPr>
    </w:lvl>
    <w:lvl w:ilvl="5">
      <w:start w:val="1"/>
      <w:numFmt w:val="decimal"/>
      <w:pStyle w:val="afa"/>
      <w:suff w:val="nothing"/>
      <w:lvlText w:val="%1.%2.%3.%4.%5.%6　"/>
      <w:lvlJc w:val="left"/>
      <w:rPr>
        <w:rFonts w:ascii="黑体" w:eastAsia="黑体" w:hAnsi="Times New Roman" w:hint="eastAsia"/>
        <w:b w:val="0"/>
        <w:bCs w:val="0"/>
        <w:i w:val="0"/>
        <w:iCs w:val="0"/>
        <w:sz w:val="21"/>
        <w:szCs w:val="21"/>
      </w:rPr>
    </w:lvl>
    <w:lvl w:ilvl="6">
      <w:start w:val="1"/>
      <w:numFmt w:val="decimal"/>
      <w:pStyle w:val="afb"/>
      <w:suff w:val="nothing"/>
      <w:lvlText w:val="%1.%2.%3.%4.%5.%6.%7　"/>
      <w:lvlJc w:val="left"/>
      <w:rPr>
        <w:rFonts w:ascii="黑体" w:eastAsia="黑体" w:hAnsi="Times New Roman" w:hint="eastAsia"/>
        <w:b w:val="0"/>
        <w:bCs w:val="0"/>
        <w:i w:val="0"/>
        <w:iCs w:val="0"/>
        <w:sz w:val="21"/>
        <w:szCs w:val="21"/>
      </w:rPr>
    </w:lvl>
    <w:lvl w:ilvl="7">
      <w:start w:val="1"/>
      <w:numFmt w:val="decimal"/>
      <w:lvlText w:val="%1.%2.%3.%4.%5.%6.%7.%8"/>
      <w:lvlJc w:val="left"/>
      <w:pPr>
        <w:tabs>
          <w:tab w:val="left" w:pos="14033"/>
        </w:tabs>
        <w:ind w:left="14033" w:hanging="1418"/>
      </w:pPr>
      <w:rPr>
        <w:rFonts w:hint="eastAsia"/>
      </w:rPr>
    </w:lvl>
    <w:lvl w:ilvl="8">
      <w:start w:val="1"/>
      <w:numFmt w:val="decimal"/>
      <w:lvlText w:val="%1.%2.%3.%4.%5.%6.%7.%8.%9"/>
      <w:lvlJc w:val="left"/>
      <w:pPr>
        <w:tabs>
          <w:tab w:val="left" w:pos="14741"/>
        </w:tabs>
        <w:ind w:left="14741" w:hanging="1700"/>
      </w:pPr>
      <w:rPr>
        <w:rFonts w:hint="eastAsia"/>
      </w:rPr>
    </w:lvl>
  </w:abstractNum>
  <w:abstractNum w:abstractNumId="14">
    <w:nsid w:val="6D6C07CD"/>
    <w:multiLevelType w:val="multilevel"/>
    <w:tmpl w:val="6D6C07CD"/>
    <w:lvl w:ilvl="0">
      <w:start w:val="1"/>
      <w:numFmt w:val="lowerLetter"/>
      <w:pStyle w:val="afc"/>
      <w:lvlText w:val="%1)"/>
      <w:lvlJc w:val="left"/>
      <w:pPr>
        <w:tabs>
          <w:tab w:val="left" w:pos="839"/>
        </w:tabs>
        <w:ind w:left="839" w:hanging="419"/>
      </w:pPr>
      <w:rPr>
        <w:rFonts w:ascii="宋体" w:eastAsia="宋体" w:hint="eastAsia"/>
        <w:b w:val="0"/>
        <w:bCs w:val="0"/>
        <w:i w:val="0"/>
        <w:iCs w:val="0"/>
        <w:sz w:val="21"/>
        <w:szCs w:val="21"/>
      </w:rPr>
    </w:lvl>
    <w:lvl w:ilvl="1">
      <w:start w:val="1"/>
      <w:numFmt w:val="decimal"/>
      <w:pStyle w:val="afd"/>
      <w:lvlText w:val="%2)"/>
      <w:lvlJc w:val="left"/>
      <w:pPr>
        <w:tabs>
          <w:tab w:val="left" w:pos="840"/>
        </w:tabs>
        <w:ind w:left="839" w:hanging="419"/>
      </w:pPr>
      <w:rPr>
        <w:rFonts w:ascii="宋体" w:eastAsia="宋体" w:hint="eastAsia"/>
        <w:b w:val="0"/>
        <w:bCs w:val="0"/>
        <w:i w:val="0"/>
        <w:iCs w:val="0"/>
        <w:sz w:val="21"/>
        <w:szCs w:val="21"/>
      </w:rPr>
    </w:lvl>
    <w:lvl w:ilvl="2">
      <w:start w:val="1"/>
      <w:numFmt w:val="lowerRoman"/>
      <w:lvlText w:val="%3."/>
      <w:lvlJc w:val="right"/>
      <w:pPr>
        <w:tabs>
          <w:tab w:val="left" w:pos="1260"/>
        </w:tabs>
        <w:ind w:left="1259" w:hanging="419"/>
      </w:pPr>
      <w:rPr>
        <w:rFonts w:hint="eastAsia"/>
      </w:rPr>
    </w:lvl>
    <w:lvl w:ilvl="3">
      <w:start w:val="1"/>
      <w:numFmt w:val="decimal"/>
      <w:lvlText w:val="%4."/>
      <w:lvlJc w:val="left"/>
      <w:pPr>
        <w:tabs>
          <w:tab w:val="left" w:pos="1680"/>
        </w:tabs>
        <w:ind w:left="1679" w:hanging="419"/>
      </w:pPr>
      <w:rPr>
        <w:rFonts w:hint="eastAsia"/>
      </w:rPr>
    </w:lvl>
    <w:lvl w:ilvl="4">
      <w:start w:val="1"/>
      <w:numFmt w:val="lowerLetter"/>
      <w:lvlText w:val="%5)"/>
      <w:lvlJc w:val="left"/>
      <w:pPr>
        <w:tabs>
          <w:tab w:val="left" w:pos="2100"/>
        </w:tabs>
        <w:ind w:left="2099" w:hanging="419"/>
      </w:pPr>
      <w:rPr>
        <w:rFonts w:hint="eastAsia"/>
      </w:rPr>
    </w:lvl>
    <w:lvl w:ilvl="5">
      <w:start w:val="1"/>
      <w:numFmt w:val="lowerRoman"/>
      <w:lvlText w:val="%6."/>
      <w:lvlJc w:val="right"/>
      <w:pPr>
        <w:tabs>
          <w:tab w:val="left" w:pos="2520"/>
        </w:tabs>
        <w:ind w:left="2519" w:hanging="419"/>
      </w:pPr>
      <w:rPr>
        <w:rFonts w:hint="eastAsia"/>
      </w:rPr>
    </w:lvl>
    <w:lvl w:ilvl="6">
      <w:start w:val="1"/>
      <w:numFmt w:val="decimal"/>
      <w:lvlText w:val="%7."/>
      <w:lvlJc w:val="left"/>
      <w:pPr>
        <w:tabs>
          <w:tab w:val="left" w:pos="2940"/>
        </w:tabs>
        <w:ind w:left="2939" w:hanging="419"/>
      </w:pPr>
      <w:rPr>
        <w:rFonts w:hint="eastAsia"/>
      </w:rPr>
    </w:lvl>
    <w:lvl w:ilvl="7">
      <w:start w:val="1"/>
      <w:numFmt w:val="lowerLetter"/>
      <w:lvlText w:val="%8)"/>
      <w:lvlJc w:val="left"/>
      <w:pPr>
        <w:tabs>
          <w:tab w:val="left" w:pos="3360"/>
        </w:tabs>
        <w:ind w:left="3359" w:hanging="419"/>
      </w:pPr>
      <w:rPr>
        <w:rFonts w:hint="eastAsia"/>
      </w:rPr>
    </w:lvl>
    <w:lvl w:ilvl="8">
      <w:start w:val="1"/>
      <w:numFmt w:val="lowerRoman"/>
      <w:lvlText w:val="%9."/>
      <w:lvlJc w:val="right"/>
      <w:pPr>
        <w:tabs>
          <w:tab w:val="left" w:pos="3780"/>
        </w:tabs>
        <w:ind w:left="3779" w:hanging="419"/>
      </w:pPr>
      <w:rPr>
        <w:rFonts w:hint="eastAsia"/>
      </w:rPr>
    </w:lvl>
  </w:abstractNum>
  <w:abstractNum w:abstractNumId="15">
    <w:nsid w:val="6DBF04F4"/>
    <w:multiLevelType w:val="multilevel"/>
    <w:tmpl w:val="6DBF04F4"/>
    <w:lvl w:ilvl="0">
      <w:start w:val="1"/>
      <w:numFmt w:val="none"/>
      <w:pStyle w:val="afe"/>
      <w:suff w:val="nothing"/>
      <w:lvlText w:val="%1注："/>
      <w:lvlJc w:val="left"/>
      <w:pPr>
        <w:ind w:left="726" w:hanging="363"/>
      </w:pPr>
      <w:rPr>
        <w:rFonts w:ascii="黑体" w:eastAsia="黑体" w:hAnsi="Times New Roman" w:hint="eastAsia"/>
        <w:b w:val="0"/>
        <w:bCs w:val="0"/>
        <w:i w:val="0"/>
        <w:iCs w:val="0"/>
        <w:sz w:val="18"/>
        <w:szCs w:val="18"/>
      </w:rPr>
    </w:lvl>
    <w:lvl w:ilvl="1">
      <w:start w:val="1"/>
      <w:numFmt w:val="lowerLetter"/>
      <w:lvlText w:val="%2)"/>
      <w:lvlJc w:val="left"/>
      <w:pPr>
        <w:tabs>
          <w:tab w:val="left" w:pos="1140"/>
        </w:tabs>
        <w:ind w:left="726" w:hanging="363"/>
      </w:pPr>
      <w:rPr>
        <w:rFonts w:hint="eastAsia"/>
      </w:rPr>
    </w:lvl>
    <w:lvl w:ilvl="2">
      <w:start w:val="1"/>
      <w:numFmt w:val="lowerRoman"/>
      <w:lvlText w:val="%3."/>
      <w:lvlJc w:val="right"/>
      <w:pPr>
        <w:tabs>
          <w:tab w:val="left" w:pos="1140"/>
        </w:tabs>
        <w:ind w:left="726" w:hanging="363"/>
      </w:pPr>
      <w:rPr>
        <w:rFonts w:hint="eastAsia"/>
      </w:rPr>
    </w:lvl>
    <w:lvl w:ilvl="3">
      <w:start w:val="1"/>
      <w:numFmt w:val="decimal"/>
      <w:lvlText w:val="%4."/>
      <w:lvlJc w:val="left"/>
      <w:pPr>
        <w:tabs>
          <w:tab w:val="left" w:pos="1140"/>
        </w:tabs>
        <w:ind w:left="726" w:hanging="363"/>
      </w:pPr>
      <w:rPr>
        <w:rFonts w:hint="eastAsia"/>
      </w:rPr>
    </w:lvl>
    <w:lvl w:ilvl="4">
      <w:start w:val="1"/>
      <w:numFmt w:val="lowerLetter"/>
      <w:lvlText w:val="%5)"/>
      <w:lvlJc w:val="left"/>
      <w:pPr>
        <w:tabs>
          <w:tab w:val="left" w:pos="1140"/>
        </w:tabs>
        <w:ind w:left="726" w:hanging="363"/>
      </w:pPr>
      <w:rPr>
        <w:rFonts w:hint="eastAsia"/>
      </w:rPr>
    </w:lvl>
    <w:lvl w:ilvl="5">
      <w:start w:val="1"/>
      <w:numFmt w:val="lowerRoman"/>
      <w:lvlText w:val="%6."/>
      <w:lvlJc w:val="right"/>
      <w:pPr>
        <w:tabs>
          <w:tab w:val="left" w:pos="1140"/>
        </w:tabs>
        <w:ind w:left="726" w:hanging="363"/>
      </w:pPr>
      <w:rPr>
        <w:rFonts w:hint="eastAsia"/>
      </w:rPr>
    </w:lvl>
    <w:lvl w:ilvl="6">
      <w:start w:val="1"/>
      <w:numFmt w:val="decimal"/>
      <w:lvlText w:val="%7."/>
      <w:lvlJc w:val="left"/>
      <w:pPr>
        <w:tabs>
          <w:tab w:val="left" w:pos="1140"/>
        </w:tabs>
        <w:ind w:left="726" w:hanging="363"/>
      </w:pPr>
      <w:rPr>
        <w:rFonts w:hint="eastAsia"/>
      </w:rPr>
    </w:lvl>
    <w:lvl w:ilvl="7">
      <w:start w:val="1"/>
      <w:numFmt w:val="lowerLetter"/>
      <w:lvlText w:val="%8)"/>
      <w:lvlJc w:val="left"/>
      <w:pPr>
        <w:tabs>
          <w:tab w:val="left" w:pos="1140"/>
        </w:tabs>
        <w:ind w:left="726" w:hanging="363"/>
      </w:pPr>
      <w:rPr>
        <w:rFonts w:hint="eastAsia"/>
      </w:rPr>
    </w:lvl>
    <w:lvl w:ilvl="8">
      <w:start w:val="1"/>
      <w:numFmt w:val="lowerRoman"/>
      <w:lvlText w:val="%9."/>
      <w:lvlJc w:val="right"/>
      <w:pPr>
        <w:tabs>
          <w:tab w:val="left" w:pos="1140"/>
        </w:tabs>
        <w:ind w:left="726" w:hanging="363"/>
      </w:pPr>
      <w:rPr>
        <w:rFonts w:hint="eastAsia"/>
      </w:rPr>
    </w:lvl>
  </w:abstractNum>
  <w:num w:numId="1">
    <w:abstractNumId w:val="8"/>
  </w:num>
  <w:num w:numId="2">
    <w:abstractNumId w:val="4"/>
  </w:num>
  <w:num w:numId="3">
    <w:abstractNumId w:val="7"/>
  </w:num>
  <w:num w:numId="4">
    <w:abstractNumId w:val="1"/>
  </w:num>
  <w:num w:numId="5">
    <w:abstractNumId w:val="9"/>
  </w:num>
  <w:num w:numId="6">
    <w:abstractNumId w:val="15"/>
  </w:num>
  <w:num w:numId="7">
    <w:abstractNumId w:val="0"/>
  </w:num>
  <w:num w:numId="8">
    <w:abstractNumId w:val="10"/>
  </w:num>
  <w:num w:numId="9">
    <w:abstractNumId w:val="5"/>
  </w:num>
  <w:num w:numId="10">
    <w:abstractNumId w:val="3"/>
  </w:num>
  <w:num w:numId="11">
    <w:abstractNumId w:val="13"/>
  </w:num>
  <w:num w:numId="12">
    <w:abstractNumId w:val="11"/>
  </w:num>
  <w:num w:numId="13">
    <w:abstractNumId w:val="14"/>
  </w:num>
  <w:num w:numId="14">
    <w:abstractNumId w:val="6"/>
  </w:num>
  <w:num w:numId="15">
    <w:abstractNumId w:val="12"/>
  </w:num>
  <w:num w:numId="16">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陈寅胜">
    <w15:presenceInfo w15:providerId="None" w15:userId="陈寅胜"/>
  </w15:person>
  <w15:person w15:author="Carlos">
    <w15:presenceInfo w15:providerId="Windows Live" w15:userId="3de4477cb0bc068d"/>
  </w15:person>
  <w15:person w15:author="user">
    <w15:presenceInfo w15:providerId="None" w15:userId="user"/>
  </w15:person>
  <w15:person w15:author="P3_xj">
    <w15:presenceInfo w15:providerId="AD" w15:userId="S-1-5-21-1202660629-602162358-839522115-1855"/>
  </w15:person>
  <w15:person w15:author="yuanlin">
    <w15:presenceInfo w15:providerId="None" w15:userId="yuanlin"/>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defaultTabStop w:val="420"/>
  <w:doNotHyphenateCaps/>
  <w:evenAndOddHeaders/>
  <w:drawingGridHorizontalSpacing w:val="105"/>
  <w:drawingGridVerticalSpacing w:val="156"/>
  <w:displayHorizontalDrawingGridEvery w:val="2"/>
  <w:displayVerticalDrawingGridEvery w:val="2"/>
  <w:noPunctuationKerning/>
  <w:characterSpacingControl w:val="compressPunctuation"/>
  <w:doNotValidateAgainstSchema/>
  <w:doNotDemarcateInvalidXml/>
  <w:footnotePr>
    <w:numRestart w:val="eachPage"/>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A41EF"/>
    <w:rsid w:val="F2DBD14E"/>
    <w:rsid w:val="000009A4"/>
    <w:rsid w:val="00000BFE"/>
    <w:rsid w:val="0000169A"/>
    <w:rsid w:val="000017A8"/>
    <w:rsid w:val="000018EB"/>
    <w:rsid w:val="000024A5"/>
    <w:rsid w:val="00003A84"/>
    <w:rsid w:val="00003C03"/>
    <w:rsid w:val="00004784"/>
    <w:rsid w:val="00004D3C"/>
    <w:rsid w:val="000053F6"/>
    <w:rsid w:val="00006366"/>
    <w:rsid w:val="00006E0B"/>
    <w:rsid w:val="000071F3"/>
    <w:rsid w:val="00010B77"/>
    <w:rsid w:val="000128FB"/>
    <w:rsid w:val="0001315B"/>
    <w:rsid w:val="00013F6E"/>
    <w:rsid w:val="000164F2"/>
    <w:rsid w:val="00017C8E"/>
    <w:rsid w:val="000202FC"/>
    <w:rsid w:val="00021954"/>
    <w:rsid w:val="000220E1"/>
    <w:rsid w:val="00022556"/>
    <w:rsid w:val="000254D9"/>
    <w:rsid w:val="0002666A"/>
    <w:rsid w:val="00026723"/>
    <w:rsid w:val="00030C2D"/>
    <w:rsid w:val="0003131D"/>
    <w:rsid w:val="00031EEF"/>
    <w:rsid w:val="00032887"/>
    <w:rsid w:val="00032F1E"/>
    <w:rsid w:val="00036595"/>
    <w:rsid w:val="000412A0"/>
    <w:rsid w:val="0004283E"/>
    <w:rsid w:val="000445E3"/>
    <w:rsid w:val="000464EB"/>
    <w:rsid w:val="00046AF9"/>
    <w:rsid w:val="000506D2"/>
    <w:rsid w:val="00050D52"/>
    <w:rsid w:val="00051502"/>
    <w:rsid w:val="00052A16"/>
    <w:rsid w:val="000531A8"/>
    <w:rsid w:val="00053834"/>
    <w:rsid w:val="000556CD"/>
    <w:rsid w:val="0005620E"/>
    <w:rsid w:val="00056B5E"/>
    <w:rsid w:val="00056D1C"/>
    <w:rsid w:val="000579FE"/>
    <w:rsid w:val="00060311"/>
    <w:rsid w:val="00060948"/>
    <w:rsid w:val="00061273"/>
    <w:rsid w:val="000627E4"/>
    <w:rsid w:val="0006387D"/>
    <w:rsid w:val="00064A25"/>
    <w:rsid w:val="000669F8"/>
    <w:rsid w:val="00066CB1"/>
    <w:rsid w:val="000673E3"/>
    <w:rsid w:val="00072FFF"/>
    <w:rsid w:val="00073445"/>
    <w:rsid w:val="00074FFB"/>
    <w:rsid w:val="000755E3"/>
    <w:rsid w:val="000770E8"/>
    <w:rsid w:val="00077392"/>
    <w:rsid w:val="00077C65"/>
    <w:rsid w:val="000805C0"/>
    <w:rsid w:val="000805D6"/>
    <w:rsid w:val="0008179B"/>
    <w:rsid w:val="000823EC"/>
    <w:rsid w:val="0008516B"/>
    <w:rsid w:val="0008536A"/>
    <w:rsid w:val="00085FDE"/>
    <w:rsid w:val="0008624B"/>
    <w:rsid w:val="000871BB"/>
    <w:rsid w:val="00087A49"/>
    <w:rsid w:val="00090866"/>
    <w:rsid w:val="00090941"/>
    <w:rsid w:val="00093842"/>
    <w:rsid w:val="00094E4E"/>
    <w:rsid w:val="000A0760"/>
    <w:rsid w:val="000A56FF"/>
    <w:rsid w:val="000A6951"/>
    <w:rsid w:val="000A6BFA"/>
    <w:rsid w:val="000A6C6E"/>
    <w:rsid w:val="000B08BD"/>
    <w:rsid w:val="000B0F34"/>
    <w:rsid w:val="000B3D2F"/>
    <w:rsid w:val="000B5EF8"/>
    <w:rsid w:val="000B66E6"/>
    <w:rsid w:val="000B7B41"/>
    <w:rsid w:val="000B7FDC"/>
    <w:rsid w:val="000C0F13"/>
    <w:rsid w:val="000C135E"/>
    <w:rsid w:val="000C149D"/>
    <w:rsid w:val="000C4AEF"/>
    <w:rsid w:val="000D0304"/>
    <w:rsid w:val="000D098A"/>
    <w:rsid w:val="000D0E30"/>
    <w:rsid w:val="000D1473"/>
    <w:rsid w:val="000D1B14"/>
    <w:rsid w:val="000D20F1"/>
    <w:rsid w:val="000D3539"/>
    <w:rsid w:val="000D37F4"/>
    <w:rsid w:val="000D3BFA"/>
    <w:rsid w:val="000D515E"/>
    <w:rsid w:val="000D6AA8"/>
    <w:rsid w:val="000D70F2"/>
    <w:rsid w:val="000E2DEA"/>
    <w:rsid w:val="000E386D"/>
    <w:rsid w:val="000E4FBA"/>
    <w:rsid w:val="000E5FFB"/>
    <w:rsid w:val="000E72C9"/>
    <w:rsid w:val="000E7660"/>
    <w:rsid w:val="000F0870"/>
    <w:rsid w:val="000F1EAB"/>
    <w:rsid w:val="000F6341"/>
    <w:rsid w:val="0010066D"/>
    <w:rsid w:val="0010240B"/>
    <w:rsid w:val="00102E44"/>
    <w:rsid w:val="00103269"/>
    <w:rsid w:val="00103A3C"/>
    <w:rsid w:val="00103BEE"/>
    <w:rsid w:val="00103E14"/>
    <w:rsid w:val="00106A1E"/>
    <w:rsid w:val="00106D7E"/>
    <w:rsid w:val="001104E7"/>
    <w:rsid w:val="00110970"/>
    <w:rsid w:val="00110E62"/>
    <w:rsid w:val="00111EF9"/>
    <w:rsid w:val="00112CD6"/>
    <w:rsid w:val="001132D2"/>
    <w:rsid w:val="001156B8"/>
    <w:rsid w:val="00115904"/>
    <w:rsid w:val="001163B9"/>
    <w:rsid w:val="001172B3"/>
    <w:rsid w:val="00120EE8"/>
    <w:rsid w:val="00121E24"/>
    <w:rsid w:val="00122B8C"/>
    <w:rsid w:val="00123A77"/>
    <w:rsid w:val="00125EE7"/>
    <w:rsid w:val="001276FB"/>
    <w:rsid w:val="00130DFE"/>
    <w:rsid w:val="00131C35"/>
    <w:rsid w:val="00132EFA"/>
    <w:rsid w:val="00134D31"/>
    <w:rsid w:val="0013564E"/>
    <w:rsid w:val="00135C66"/>
    <w:rsid w:val="00135EAB"/>
    <w:rsid w:val="001364B7"/>
    <w:rsid w:val="00136AA9"/>
    <w:rsid w:val="00136C6C"/>
    <w:rsid w:val="00142A95"/>
    <w:rsid w:val="00142F24"/>
    <w:rsid w:val="00142F37"/>
    <w:rsid w:val="001439B4"/>
    <w:rsid w:val="00145835"/>
    <w:rsid w:val="0014587E"/>
    <w:rsid w:val="00145F1E"/>
    <w:rsid w:val="0014786E"/>
    <w:rsid w:val="00151691"/>
    <w:rsid w:val="00155C6C"/>
    <w:rsid w:val="00157335"/>
    <w:rsid w:val="001575ED"/>
    <w:rsid w:val="00161703"/>
    <w:rsid w:val="00162273"/>
    <w:rsid w:val="00163083"/>
    <w:rsid w:val="00163349"/>
    <w:rsid w:val="00164C58"/>
    <w:rsid w:val="0016654A"/>
    <w:rsid w:val="00167792"/>
    <w:rsid w:val="0017000D"/>
    <w:rsid w:val="001717D4"/>
    <w:rsid w:val="00172E15"/>
    <w:rsid w:val="00174325"/>
    <w:rsid w:val="00174C73"/>
    <w:rsid w:val="001756DF"/>
    <w:rsid w:val="001757CC"/>
    <w:rsid w:val="00180795"/>
    <w:rsid w:val="0018236B"/>
    <w:rsid w:val="001827E3"/>
    <w:rsid w:val="0018713F"/>
    <w:rsid w:val="001879F5"/>
    <w:rsid w:val="00187FD5"/>
    <w:rsid w:val="001905AE"/>
    <w:rsid w:val="00190C44"/>
    <w:rsid w:val="00190FF8"/>
    <w:rsid w:val="00193956"/>
    <w:rsid w:val="00194797"/>
    <w:rsid w:val="00194B76"/>
    <w:rsid w:val="00195580"/>
    <w:rsid w:val="00197779"/>
    <w:rsid w:val="001A23A3"/>
    <w:rsid w:val="001A3237"/>
    <w:rsid w:val="001A7471"/>
    <w:rsid w:val="001A7C82"/>
    <w:rsid w:val="001B0B0A"/>
    <w:rsid w:val="001B0F9E"/>
    <w:rsid w:val="001B16D2"/>
    <w:rsid w:val="001B1722"/>
    <w:rsid w:val="001B1DB1"/>
    <w:rsid w:val="001B22F3"/>
    <w:rsid w:val="001B247F"/>
    <w:rsid w:val="001B3034"/>
    <w:rsid w:val="001B4283"/>
    <w:rsid w:val="001B6ACE"/>
    <w:rsid w:val="001C2A97"/>
    <w:rsid w:val="001C4A33"/>
    <w:rsid w:val="001C77F4"/>
    <w:rsid w:val="001D0760"/>
    <w:rsid w:val="001D3179"/>
    <w:rsid w:val="001D3B2C"/>
    <w:rsid w:val="001D3F2B"/>
    <w:rsid w:val="001D5C0E"/>
    <w:rsid w:val="001D6703"/>
    <w:rsid w:val="001E09BA"/>
    <w:rsid w:val="001E0CCC"/>
    <w:rsid w:val="001E1596"/>
    <w:rsid w:val="001E33F5"/>
    <w:rsid w:val="001E3FB0"/>
    <w:rsid w:val="001E449F"/>
    <w:rsid w:val="001E5C55"/>
    <w:rsid w:val="001E767B"/>
    <w:rsid w:val="001F0897"/>
    <w:rsid w:val="001F21DA"/>
    <w:rsid w:val="001F2893"/>
    <w:rsid w:val="001F2E63"/>
    <w:rsid w:val="001F30A1"/>
    <w:rsid w:val="001F385A"/>
    <w:rsid w:val="001F4CBD"/>
    <w:rsid w:val="001F4EC5"/>
    <w:rsid w:val="001F60A7"/>
    <w:rsid w:val="001F6CD4"/>
    <w:rsid w:val="001F7BCE"/>
    <w:rsid w:val="0020054E"/>
    <w:rsid w:val="0020113C"/>
    <w:rsid w:val="00201BDC"/>
    <w:rsid w:val="00203C5A"/>
    <w:rsid w:val="00207356"/>
    <w:rsid w:val="00211615"/>
    <w:rsid w:val="00213803"/>
    <w:rsid w:val="00213957"/>
    <w:rsid w:val="00214155"/>
    <w:rsid w:val="00214CAE"/>
    <w:rsid w:val="00215878"/>
    <w:rsid w:val="002203BA"/>
    <w:rsid w:val="002205E1"/>
    <w:rsid w:val="0022211A"/>
    <w:rsid w:val="0022417E"/>
    <w:rsid w:val="002248DF"/>
    <w:rsid w:val="00227BC7"/>
    <w:rsid w:val="00230F47"/>
    <w:rsid w:val="00231A89"/>
    <w:rsid w:val="002323EE"/>
    <w:rsid w:val="002324D9"/>
    <w:rsid w:val="00232811"/>
    <w:rsid w:val="0023305A"/>
    <w:rsid w:val="002368D6"/>
    <w:rsid w:val="0023775D"/>
    <w:rsid w:val="00237908"/>
    <w:rsid w:val="002413BB"/>
    <w:rsid w:val="00243AE7"/>
    <w:rsid w:val="002448D1"/>
    <w:rsid w:val="00245D0A"/>
    <w:rsid w:val="00246B8F"/>
    <w:rsid w:val="00246E4D"/>
    <w:rsid w:val="00251104"/>
    <w:rsid w:val="002528FD"/>
    <w:rsid w:val="00252B1D"/>
    <w:rsid w:val="002538E6"/>
    <w:rsid w:val="00254F74"/>
    <w:rsid w:val="002551DF"/>
    <w:rsid w:val="00256D23"/>
    <w:rsid w:val="00256FE2"/>
    <w:rsid w:val="00257ECA"/>
    <w:rsid w:val="00263D95"/>
    <w:rsid w:val="00263E3F"/>
    <w:rsid w:val="002642BC"/>
    <w:rsid w:val="00274452"/>
    <w:rsid w:val="00274E1A"/>
    <w:rsid w:val="00275651"/>
    <w:rsid w:val="00275BA6"/>
    <w:rsid w:val="00276B71"/>
    <w:rsid w:val="00276BC9"/>
    <w:rsid w:val="00276DA1"/>
    <w:rsid w:val="002770C0"/>
    <w:rsid w:val="00277826"/>
    <w:rsid w:val="0028199F"/>
    <w:rsid w:val="0028212D"/>
    <w:rsid w:val="00284A2C"/>
    <w:rsid w:val="002859D7"/>
    <w:rsid w:val="002864C1"/>
    <w:rsid w:val="0028708E"/>
    <w:rsid w:val="00287271"/>
    <w:rsid w:val="0029065A"/>
    <w:rsid w:val="002910B2"/>
    <w:rsid w:val="0029367C"/>
    <w:rsid w:val="00293996"/>
    <w:rsid w:val="00295C5A"/>
    <w:rsid w:val="002A051A"/>
    <w:rsid w:val="002A218A"/>
    <w:rsid w:val="002A243F"/>
    <w:rsid w:val="002A4F84"/>
    <w:rsid w:val="002A6401"/>
    <w:rsid w:val="002B1EBF"/>
    <w:rsid w:val="002B2DB3"/>
    <w:rsid w:val="002B3BF4"/>
    <w:rsid w:val="002B6421"/>
    <w:rsid w:val="002B645E"/>
    <w:rsid w:val="002B654C"/>
    <w:rsid w:val="002B6969"/>
    <w:rsid w:val="002C071C"/>
    <w:rsid w:val="002C0991"/>
    <w:rsid w:val="002C1731"/>
    <w:rsid w:val="002C47A7"/>
    <w:rsid w:val="002C69E4"/>
    <w:rsid w:val="002C6F36"/>
    <w:rsid w:val="002C76D2"/>
    <w:rsid w:val="002C7B74"/>
    <w:rsid w:val="002D0857"/>
    <w:rsid w:val="002D398B"/>
    <w:rsid w:val="002D4B25"/>
    <w:rsid w:val="002D6107"/>
    <w:rsid w:val="002D66D6"/>
    <w:rsid w:val="002E0C20"/>
    <w:rsid w:val="002E0F17"/>
    <w:rsid w:val="002E19EF"/>
    <w:rsid w:val="002E3A5C"/>
    <w:rsid w:val="002E3A6F"/>
    <w:rsid w:val="002E5CD7"/>
    <w:rsid w:val="002E6275"/>
    <w:rsid w:val="002E62C0"/>
    <w:rsid w:val="002E6451"/>
    <w:rsid w:val="002E6964"/>
    <w:rsid w:val="002F06CE"/>
    <w:rsid w:val="002F0B69"/>
    <w:rsid w:val="002F1A5C"/>
    <w:rsid w:val="002F22B5"/>
    <w:rsid w:val="002F3002"/>
    <w:rsid w:val="002F31A9"/>
    <w:rsid w:val="002F717C"/>
    <w:rsid w:val="002F73C4"/>
    <w:rsid w:val="002F76BF"/>
    <w:rsid w:val="002F77DD"/>
    <w:rsid w:val="00300AFD"/>
    <w:rsid w:val="00301751"/>
    <w:rsid w:val="003043A5"/>
    <w:rsid w:val="00305794"/>
    <w:rsid w:val="00306BA0"/>
    <w:rsid w:val="00306EE6"/>
    <w:rsid w:val="003073AC"/>
    <w:rsid w:val="003100A7"/>
    <w:rsid w:val="00310844"/>
    <w:rsid w:val="003123C8"/>
    <w:rsid w:val="003169C4"/>
    <w:rsid w:val="00322F27"/>
    <w:rsid w:val="00327E6D"/>
    <w:rsid w:val="003308B2"/>
    <w:rsid w:val="00333214"/>
    <w:rsid w:val="00333B5A"/>
    <w:rsid w:val="003345A4"/>
    <w:rsid w:val="00341948"/>
    <w:rsid w:val="00343E58"/>
    <w:rsid w:val="00345481"/>
    <w:rsid w:val="0034559E"/>
    <w:rsid w:val="00345A99"/>
    <w:rsid w:val="00346997"/>
    <w:rsid w:val="0035066F"/>
    <w:rsid w:val="00350BB1"/>
    <w:rsid w:val="00351429"/>
    <w:rsid w:val="00352F18"/>
    <w:rsid w:val="00353066"/>
    <w:rsid w:val="00353A7B"/>
    <w:rsid w:val="00353EC7"/>
    <w:rsid w:val="0035433E"/>
    <w:rsid w:val="00355A30"/>
    <w:rsid w:val="00355BC9"/>
    <w:rsid w:val="003574B9"/>
    <w:rsid w:val="00360BB1"/>
    <w:rsid w:val="00360E25"/>
    <w:rsid w:val="0036134C"/>
    <w:rsid w:val="003624A8"/>
    <w:rsid w:val="003627B5"/>
    <w:rsid w:val="00364731"/>
    <w:rsid w:val="00365082"/>
    <w:rsid w:val="00365318"/>
    <w:rsid w:val="0037143C"/>
    <w:rsid w:val="00375678"/>
    <w:rsid w:val="003760B5"/>
    <w:rsid w:val="00376633"/>
    <w:rsid w:val="00377060"/>
    <w:rsid w:val="00377CF6"/>
    <w:rsid w:val="00381A38"/>
    <w:rsid w:val="0038233E"/>
    <w:rsid w:val="003842CB"/>
    <w:rsid w:val="0038434E"/>
    <w:rsid w:val="00384D81"/>
    <w:rsid w:val="0039096E"/>
    <w:rsid w:val="00390EF5"/>
    <w:rsid w:val="0039160F"/>
    <w:rsid w:val="003972E3"/>
    <w:rsid w:val="00397C56"/>
    <w:rsid w:val="003A0BD6"/>
    <w:rsid w:val="003A59BC"/>
    <w:rsid w:val="003A7DDA"/>
    <w:rsid w:val="003B05F8"/>
    <w:rsid w:val="003B1010"/>
    <w:rsid w:val="003B186A"/>
    <w:rsid w:val="003B4A34"/>
    <w:rsid w:val="003B56A0"/>
    <w:rsid w:val="003C0B2E"/>
    <w:rsid w:val="003C27C2"/>
    <w:rsid w:val="003C2A6E"/>
    <w:rsid w:val="003C3174"/>
    <w:rsid w:val="003C3658"/>
    <w:rsid w:val="003C5709"/>
    <w:rsid w:val="003C5768"/>
    <w:rsid w:val="003C61D0"/>
    <w:rsid w:val="003C6FCA"/>
    <w:rsid w:val="003C736C"/>
    <w:rsid w:val="003D4209"/>
    <w:rsid w:val="003D5166"/>
    <w:rsid w:val="003D6601"/>
    <w:rsid w:val="003D6BBF"/>
    <w:rsid w:val="003E03DA"/>
    <w:rsid w:val="003E0823"/>
    <w:rsid w:val="003E1711"/>
    <w:rsid w:val="003E2375"/>
    <w:rsid w:val="003E39F4"/>
    <w:rsid w:val="003E4770"/>
    <w:rsid w:val="003E69C6"/>
    <w:rsid w:val="003E6F0D"/>
    <w:rsid w:val="003E71BC"/>
    <w:rsid w:val="003E754A"/>
    <w:rsid w:val="003F1221"/>
    <w:rsid w:val="003F12E0"/>
    <w:rsid w:val="003F40E3"/>
    <w:rsid w:val="0040277E"/>
    <w:rsid w:val="00404262"/>
    <w:rsid w:val="00406199"/>
    <w:rsid w:val="00406442"/>
    <w:rsid w:val="004068FF"/>
    <w:rsid w:val="00407876"/>
    <w:rsid w:val="004079CB"/>
    <w:rsid w:val="00407C2C"/>
    <w:rsid w:val="00407E67"/>
    <w:rsid w:val="004116A6"/>
    <w:rsid w:val="004137F9"/>
    <w:rsid w:val="00413B91"/>
    <w:rsid w:val="004158AA"/>
    <w:rsid w:val="004159FB"/>
    <w:rsid w:val="00417D03"/>
    <w:rsid w:val="00420851"/>
    <w:rsid w:val="00421C5F"/>
    <w:rsid w:val="0042279C"/>
    <w:rsid w:val="004252FC"/>
    <w:rsid w:val="00425C9F"/>
    <w:rsid w:val="00426576"/>
    <w:rsid w:val="00427379"/>
    <w:rsid w:val="00427983"/>
    <w:rsid w:val="00427B64"/>
    <w:rsid w:val="0043280C"/>
    <w:rsid w:val="00433299"/>
    <w:rsid w:val="0043365D"/>
    <w:rsid w:val="0043571C"/>
    <w:rsid w:val="00436F8D"/>
    <w:rsid w:val="004404AD"/>
    <w:rsid w:val="00441992"/>
    <w:rsid w:val="00441DA6"/>
    <w:rsid w:val="004441BC"/>
    <w:rsid w:val="004447B2"/>
    <w:rsid w:val="00445E7C"/>
    <w:rsid w:val="00446BC1"/>
    <w:rsid w:val="00451140"/>
    <w:rsid w:val="00454A7A"/>
    <w:rsid w:val="00460EF0"/>
    <w:rsid w:val="00461786"/>
    <w:rsid w:val="00461AA2"/>
    <w:rsid w:val="00461B0A"/>
    <w:rsid w:val="0046248F"/>
    <w:rsid w:val="004638B6"/>
    <w:rsid w:val="00464BC3"/>
    <w:rsid w:val="00466DDB"/>
    <w:rsid w:val="00470B89"/>
    <w:rsid w:val="004713A5"/>
    <w:rsid w:val="00471D30"/>
    <w:rsid w:val="00471ED7"/>
    <w:rsid w:val="00473EF6"/>
    <w:rsid w:val="00474639"/>
    <w:rsid w:val="00474729"/>
    <w:rsid w:val="004760C9"/>
    <w:rsid w:val="00476243"/>
    <w:rsid w:val="0047632E"/>
    <w:rsid w:val="0048022D"/>
    <w:rsid w:val="00480E42"/>
    <w:rsid w:val="0048213C"/>
    <w:rsid w:val="00485450"/>
    <w:rsid w:val="004871E2"/>
    <w:rsid w:val="00487F30"/>
    <w:rsid w:val="004903AD"/>
    <w:rsid w:val="004923C3"/>
    <w:rsid w:val="00494A3E"/>
    <w:rsid w:val="00494A82"/>
    <w:rsid w:val="00495894"/>
    <w:rsid w:val="0049621D"/>
    <w:rsid w:val="00496244"/>
    <w:rsid w:val="00497096"/>
    <w:rsid w:val="004A1848"/>
    <w:rsid w:val="004A1E1A"/>
    <w:rsid w:val="004A48D8"/>
    <w:rsid w:val="004A544E"/>
    <w:rsid w:val="004A5A8A"/>
    <w:rsid w:val="004A64C7"/>
    <w:rsid w:val="004A7181"/>
    <w:rsid w:val="004A7671"/>
    <w:rsid w:val="004A79EF"/>
    <w:rsid w:val="004B0233"/>
    <w:rsid w:val="004B02BE"/>
    <w:rsid w:val="004B0472"/>
    <w:rsid w:val="004B0484"/>
    <w:rsid w:val="004B0D9C"/>
    <w:rsid w:val="004B0E58"/>
    <w:rsid w:val="004B1D63"/>
    <w:rsid w:val="004B2C6C"/>
    <w:rsid w:val="004B4844"/>
    <w:rsid w:val="004B5C84"/>
    <w:rsid w:val="004B6610"/>
    <w:rsid w:val="004B7EBF"/>
    <w:rsid w:val="004C0997"/>
    <w:rsid w:val="004C3535"/>
    <w:rsid w:val="004C4A2B"/>
    <w:rsid w:val="004D12C8"/>
    <w:rsid w:val="004D15C5"/>
    <w:rsid w:val="004D1F3F"/>
    <w:rsid w:val="004D29D0"/>
    <w:rsid w:val="004D3226"/>
    <w:rsid w:val="004D66CA"/>
    <w:rsid w:val="004D67B9"/>
    <w:rsid w:val="004E05D2"/>
    <w:rsid w:val="004E0A0A"/>
    <w:rsid w:val="004E5721"/>
    <w:rsid w:val="004E57FA"/>
    <w:rsid w:val="004E5C60"/>
    <w:rsid w:val="004E7698"/>
    <w:rsid w:val="004F1822"/>
    <w:rsid w:val="004F1AD7"/>
    <w:rsid w:val="004F35A8"/>
    <w:rsid w:val="004F5146"/>
    <w:rsid w:val="004F52F6"/>
    <w:rsid w:val="004F56DE"/>
    <w:rsid w:val="004F609F"/>
    <w:rsid w:val="004F6C93"/>
    <w:rsid w:val="005005B0"/>
    <w:rsid w:val="00500FFC"/>
    <w:rsid w:val="00503B2B"/>
    <w:rsid w:val="0050414D"/>
    <w:rsid w:val="00504975"/>
    <w:rsid w:val="0050503A"/>
    <w:rsid w:val="00505110"/>
    <w:rsid w:val="00506D18"/>
    <w:rsid w:val="00507960"/>
    <w:rsid w:val="00507DD0"/>
    <w:rsid w:val="0051176C"/>
    <w:rsid w:val="005122C1"/>
    <w:rsid w:val="005129CF"/>
    <w:rsid w:val="00513346"/>
    <w:rsid w:val="0051434D"/>
    <w:rsid w:val="00515066"/>
    <w:rsid w:val="00515AE0"/>
    <w:rsid w:val="0051672D"/>
    <w:rsid w:val="00516D21"/>
    <w:rsid w:val="00517419"/>
    <w:rsid w:val="00517CD4"/>
    <w:rsid w:val="005203C3"/>
    <w:rsid w:val="00522688"/>
    <w:rsid w:val="00522AF6"/>
    <w:rsid w:val="00523080"/>
    <w:rsid w:val="00524D84"/>
    <w:rsid w:val="00525423"/>
    <w:rsid w:val="00525BAE"/>
    <w:rsid w:val="00526CCD"/>
    <w:rsid w:val="00527504"/>
    <w:rsid w:val="005277CF"/>
    <w:rsid w:val="00530703"/>
    <w:rsid w:val="00532F3B"/>
    <w:rsid w:val="0053355E"/>
    <w:rsid w:val="00534A75"/>
    <w:rsid w:val="00537F0D"/>
    <w:rsid w:val="00540B1D"/>
    <w:rsid w:val="00540E75"/>
    <w:rsid w:val="00541EB4"/>
    <w:rsid w:val="0054572F"/>
    <w:rsid w:val="00546469"/>
    <w:rsid w:val="00546B00"/>
    <w:rsid w:val="00550560"/>
    <w:rsid w:val="0055063F"/>
    <w:rsid w:val="00550D6D"/>
    <w:rsid w:val="00551A26"/>
    <w:rsid w:val="00552074"/>
    <w:rsid w:val="005549FF"/>
    <w:rsid w:val="00555F25"/>
    <w:rsid w:val="00556C4B"/>
    <w:rsid w:val="00557632"/>
    <w:rsid w:val="00557C6E"/>
    <w:rsid w:val="00560168"/>
    <w:rsid w:val="005609DE"/>
    <w:rsid w:val="00560E38"/>
    <w:rsid w:val="00562245"/>
    <w:rsid w:val="00562FD0"/>
    <w:rsid w:val="00563584"/>
    <w:rsid w:val="005720D1"/>
    <w:rsid w:val="00574965"/>
    <w:rsid w:val="00576053"/>
    <w:rsid w:val="00576CD2"/>
    <w:rsid w:val="00576EC1"/>
    <w:rsid w:val="0057770A"/>
    <w:rsid w:val="00577A44"/>
    <w:rsid w:val="005820DD"/>
    <w:rsid w:val="005849B1"/>
    <w:rsid w:val="00585CB3"/>
    <w:rsid w:val="00586015"/>
    <w:rsid w:val="00586BF0"/>
    <w:rsid w:val="005902FE"/>
    <w:rsid w:val="005938B2"/>
    <w:rsid w:val="00594588"/>
    <w:rsid w:val="00594A09"/>
    <w:rsid w:val="0059528C"/>
    <w:rsid w:val="0059622A"/>
    <w:rsid w:val="005978B2"/>
    <w:rsid w:val="00597D56"/>
    <w:rsid w:val="005A2136"/>
    <w:rsid w:val="005A2782"/>
    <w:rsid w:val="005A3DB6"/>
    <w:rsid w:val="005A4665"/>
    <w:rsid w:val="005A6BE6"/>
    <w:rsid w:val="005B10F9"/>
    <w:rsid w:val="005B46B4"/>
    <w:rsid w:val="005B7F48"/>
    <w:rsid w:val="005C017C"/>
    <w:rsid w:val="005C17A8"/>
    <w:rsid w:val="005C2244"/>
    <w:rsid w:val="005C2405"/>
    <w:rsid w:val="005C35DA"/>
    <w:rsid w:val="005C4BD7"/>
    <w:rsid w:val="005C6E80"/>
    <w:rsid w:val="005D2E43"/>
    <w:rsid w:val="005D30B0"/>
    <w:rsid w:val="005D3EC2"/>
    <w:rsid w:val="005D4094"/>
    <w:rsid w:val="005D48D1"/>
    <w:rsid w:val="005D607C"/>
    <w:rsid w:val="005D65CB"/>
    <w:rsid w:val="005E1409"/>
    <w:rsid w:val="005E674C"/>
    <w:rsid w:val="005E74DF"/>
    <w:rsid w:val="005E7904"/>
    <w:rsid w:val="005F1C28"/>
    <w:rsid w:val="005F3C3D"/>
    <w:rsid w:val="005F677D"/>
    <w:rsid w:val="005F6A16"/>
    <w:rsid w:val="005F7148"/>
    <w:rsid w:val="006013F5"/>
    <w:rsid w:val="0060200A"/>
    <w:rsid w:val="00610949"/>
    <w:rsid w:val="00611AF9"/>
    <w:rsid w:val="006121F6"/>
    <w:rsid w:val="00613A2B"/>
    <w:rsid w:val="00614340"/>
    <w:rsid w:val="00614936"/>
    <w:rsid w:val="00614F34"/>
    <w:rsid w:val="006164A7"/>
    <w:rsid w:val="0062233E"/>
    <w:rsid w:val="00622408"/>
    <w:rsid w:val="006242A0"/>
    <w:rsid w:val="0062432E"/>
    <w:rsid w:val="006247EB"/>
    <w:rsid w:val="00626117"/>
    <w:rsid w:val="006263E3"/>
    <w:rsid w:val="00627C2D"/>
    <w:rsid w:val="0063056E"/>
    <w:rsid w:val="006329FC"/>
    <w:rsid w:val="006330D9"/>
    <w:rsid w:val="006331A0"/>
    <w:rsid w:val="00633490"/>
    <w:rsid w:val="0063446C"/>
    <w:rsid w:val="00634B5B"/>
    <w:rsid w:val="00637477"/>
    <w:rsid w:val="006403AE"/>
    <w:rsid w:val="006405EB"/>
    <w:rsid w:val="0064182C"/>
    <w:rsid w:val="00641D6C"/>
    <w:rsid w:val="0064276E"/>
    <w:rsid w:val="00642C86"/>
    <w:rsid w:val="0064382A"/>
    <w:rsid w:val="00644058"/>
    <w:rsid w:val="00644EA2"/>
    <w:rsid w:val="00650C5B"/>
    <w:rsid w:val="00656B16"/>
    <w:rsid w:val="00657EB0"/>
    <w:rsid w:val="00657F84"/>
    <w:rsid w:val="00661C0F"/>
    <w:rsid w:val="00663895"/>
    <w:rsid w:val="00663989"/>
    <w:rsid w:val="0066475B"/>
    <w:rsid w:val="006652D2"/>
    <w:rsid w:val="00666E85"/>
    <w:rsid w:val="00670D9C"/>
    <w:rsid w:val="00674075"/>
    <w:rsid w:val="00674259"/>
    <w:rsid w:val="00676765"/>
    <w:rsid w:val="006768B8"/>
    <w:rsid w:val="00677406"/>
    <w:rsid w:val="006808A3"/>
    <w:rsid w:val="00684456"/>
    <w:rsid w:val="0068488B"/>
    <w:rsid w:val="00685222"/>
    <w:rsid w:val="006926E4"/>
    <w:rsid w:val="00693FC1"/>
    <w:rsid w:val="006947E7"/>
    <w:rsid w:val="00695246"/>
    <w:rsid w:val="00696765"/>
    <w:rsid w:val="006974F9"/>
    <w:rsid w:val="006A0272"/>
    <w:rsid w:val="006A05C6"/>
    <w:rsid w:val="006A15F3"/>
    <w:rsid w:val="006A3917"/>
    <w:rsid w:val="006A4246"/>
    <w:rsid w:val="006A5597"/>
    <w:rsid w:val="006A6118"/>
    <w:rsid w:val="006A6372"/>
    <w:rsid w:val="006B3E77"/>
    <w:rsid w:val="006B4349"/>
    <w:rsid w:val="006B7CFD"/>
    <w:rsid w:val="006C4700"/>
    <w:rsid w:val="006C6863"/>
    <w:rsid w:val="006C7419"/>
    <w:rsid w:val="006C7EC7"/>
    <w:rsid w:val="006C7FE7"/>
    <w:rsid w:val="006D3A4C"/>
    <w:rsid w:val="006D4074"/>
    <w:rsid w:val="006E11A2"/>
    <w:rsid w:val="006E1BB1"/>
    <w:rsid w:val="006E23F7"/>
    <w:rsid w:val="006E2801"/>
    <w:rsid w:val="006E3056"/>
    <w:rsid w:val="006E43E3"/>
    <w:rsid w:val="006E445E"/>
    <w:rsid w:val="006E545E"/>
    <w:rsid w:val="006E640D"/>
    <w:rsid w:val="006F0FB1"/>
    <w:rsid w:val="006F17CA"/>
    <w:rsid w:val="006F3333"/>
    <w:rsid w:val="006F3C3C"/>
    <w:rsid w:val="006F5F99"/>
    <w:rsid w:val="006F70A4"/>
    <w:rsid w:val="006F7171"/>
    <w:rsid w:val="006F7A1D"/>
    <w:rsid w:val="00701C01"/>
    <w:rsid w:val="00702FB4"/>
    <w:rsid w:val="00703B7B"/>
    <w:rsid w:val="00704D49"/>
    <w:rsid w:val="00705CAB"/>
    <w:rsid w:val="0070647D"/>
    <w:rsid w:val="00711EFD"/>
    <w:rsid w:val="0071219E"/>
    <w:rsid w:val="00712B7E"/>
    <w:rsid w:val="00713631"/>
    <w:rsid w:val="00713ABD"/>
    <w:rsid w:val="00714294"/>
    <w:rsid w:val="007150DB"/>
    <w:rsid w:val="00715175"/>
    <w:rsid w:val="00717017"/>
    <w:rsid w:val="007206E8"/>
    <w:rsid w:val="00720A9A"/>
    <w:rsid w:val="00720F4B"/>
    <w:rsid w:val="007224CB"/>
    <w:rsid w:val="00724F12"/>
    <w:rsid w:val="00725B59"/>
    <w:rsid w:val="00725ECD"/>
    <w:rsid w:val="007263BC"/>
    <w:rsid w:val="00727092"/>
    <w:rsid w:val="00733157"/>
    <w:rsid w:val="00733303"/>
    <w:rsid w:val="00733BEF"/>
    <w:rsid w:val="00733D12"/>
    <w:rsid w:val="00734F3F"/>
    <w:rsid w:val="007353C5"/>
    <w:rsid w:val="0073557E"/>
    <w:rsid w:val="00736BC9"/>
    <w:rsid w:val="00737451"/>
    <w:rsid w:val="007400E1"/>
    <w:rsid w:val="00743404"/>
    <w:rsid w:val="00743854"/>
    <w:rsid w:val="007442BD"/>
    <w:rsid w:val="007512EB"/>
    <w:rsid w:val="00752667"/>
    <w:rsid w:val="00752A35"/>
    <w:rsid w:val="007536E7"/>
    <w:rsid w:val="00754943"/>
    <w:rsid w:val="00754A0D"/>
    <w:rsid w:val="00762589"/>
    <w:rsid w:val="007631B8"/>
    <w:rsid w:val="00763D1C"/>
    <w:rsid w:val="007661AC"/>
    <w:rsid w:val="00767F90"/>
    <w:rsid w:val="0077015A"/>
    <w:rsid w:val="007709D6"/>
    <w:rsid w:val="0077207B"/>
    <w:rsid w:val="007726F1"/>
    <w:rsid w:val="00775A24"/>
    <w:rsid w:val="00782C84"/>
    <w:rsid w:val="0078377A"/>
    <w:rsid w:val="00784691"/>
    <w:rsid w:val="00787587"/>
    <w:rsid w:val="00787980"/>
    <w:rsid w:val="007879DF"/>
    <w:rsid w:val="007967C8"/>
    <w:rsid w:val="007A04F2"/>
    <w:rsid w:val="007A0576"/>
    <w:rsid w:val="007A18EC"/>
    <w:rsid w:val="007A1A9B"/>
    <w:rsid w:val="007A23A3"/>
    <w:rsid w:val="007A2C13"/>
    <w:rsid w:val="007A2D40"/>
    <w:rsid w:val="007A2EE2"/>
    <w:rsid w:val="007A35C4"/>
    <w:rsid w:val="007A460A"/>
    <w:rsid w:val="007A46BB"/>
    <w:rsid w:val="007A4E5D"/>
    <w:rsid w:val="007A4ED8"/>
    <w:rsid w:val="007A67DB"/>
    <w:rsid w:val="007B0E9C"/>
    <w:rsid w:val="007B24A2"/>
    <w:rsid w:val="007B36F3"/>
    <w:rsid w:val="007B42FC"/>
    <w:rsid w:val="007B4CF6"/>
    <w:rsid w:val="007B550C"/>
    <w:rsid w:val="007B5FEA"/>
    <w:rsid w:val="007B7188"/>
    <w:rsid w:val="007B7B9B"/>
    <w:rsid w:val="007C1A06"/>
    <w:rsid w:val="007C1DF1"/>
    <w:rsid w:val="007C656D"/>
    <w:rsid w:val="007C7F5E"/>
    <w:rsid w:val="007D0FD6"/>
    <w:rsid w:val="007D25E9"/>
    <w:rsid w:val="007D4160"/>
    <w:rsid w:val="007D4F2A"/>
    <w:rsid w:val="007D7F05"/>
    <w:rsid w:val="007E00CA"/>
    <w:rsid w:val="007E0AC1"/>
    <w:rsid w:val="007E0FFE"/>
    <w:rsid w:val="007E1098"/>
    <w:rsid w:val="007E35B7"/>
    <w:rsid w:val="007E5B9B"/>
    <w:rsid w:val="007E6061"/>
    <w:rsid w:val="007F1282"/>
    <w:rsid w:val="007F17EE"/>
    <w:rsid w:val="007F3095"/>
    <w:rsid w:val="007F3C14"/>
    <w:rsid w:val="007F4CBD"/>
    <w:rsid w:val="007F5C83"/>
    <w:rsid w:val="007F67F5"/>
    <w:rsid w:val="008001FC"/>
    <w:rsid w:val="00801CA5"/>
    <w:rsid w:val="00805567"/>
    <w:rsid w:val="0081021B"/>
    <w:rsid w:val="00810921"/>
    <w:rsid w:val="00812488"/>
    <w:rsid w:val="00812CA7"/>
    <w:rsid w:val="00812E5B"/>
    <w:rsid w:val="00816D49"/>
    <w:rsid w:val="008170DC"/>
    <w:rsid w:val="00817D9D"/>
    <w:rsid w:val="008210DB"/>
    <w:rsid w:val="00821335"/>
    <w:rsid w:val="00821617"/>
    <w:rsid w:val="00821C2E"/>
    <w:rsid w:val="0082270C"/>
    <w:rsid w:val="00822A4E"/>
    <w:rsid w:val="00822C8D"/>
    <w:rsid w:val="0082683D"/>
    <w:rsid w:val="00827CFA"/>
    <w:rsid w:val="00831073"/>
    <w:rsid w:val="0083107F"/>
    <w:rsid w:val="008334B2"/>
    <w:rsid w:val="00833667"/>
    <w:rsid w:val="00833B15"/>
    <w:rsid w:val="008351E3"/>
    <w:rsid w:val="008358EC"/>
    <w:rsid w:val="00835C32"/>
    <w:rsid w:val="00835C91"/>
    <w:rsid w:val="00836226"/>
    <w:rsid w:val="008374C4"/>
    <w:rsid w:val="008376BE"/>
    <w:rsid w:val="00837A63"/>
    <w:rsid w:val="00840D07"/>
    <w:rsid w:val="008424E5"/>
    <w:rsid w:val="0084313A"/>
    <w:rsid w:val="00843A4C"/>
    <w:rsid w:val="008442FC"/>
    <w:rsid w:val="0084609B"/>
    <w:rsid w:val="00847E3A"/>
    <w:rsid w:val="0085054F"/>
    <w:rsid w:val="00850961"/>
    <w:rsid w:val="00852233"/>
    <w:rsid w:val="00855572"/>
    <w:rsid w:val="00856A08"/>
    <w:rsid w:val="0085717A"/>
    <w:rsid w:val="00860152"/>
    <w:rsid w:val="00860714"/>
    <w:rsid w:val="0086426E"/>
    <w:rsid w:val="008669CA"/>
    <w:rsid w:val="0087172E"/>
    <w:rsid w:val="00875CF0"/>
    <w:rsid w:val="00877D8C"/>
    <w:rsid w:val="00877E92"/>
    <w:rsid w:val="00881F5F"/>
    <w:rsid w:val="008822DC"/>
    <w:rsid w:val="008830E8"/>
    <w:rsid w:val="00883547"/>
    <w:rsid w:val="00885D08"/>
    <w:rsid w:val="00887B28"/>
    <w:rsid w:val="008914DF"/>
    <w:rsid w:val="00891B26"/>
    <w:rsid w:val="00893F59"/>
    <w:rsid w:val="0089501E"/>
    <w:rsid w:val="008950BE"/>
    <w:rsid w:val="008A1AD9"/>
    <w:rsid w:val="008A6986"/>
    <w:rsid w:val="008B198B"/>
    <w:rsid w:val="008B2842"/>
    <w:rsid w:val="008B5B7A"/>
    <w:rsid w:val="008B5DA8"/>
    <w:rsid w:val="008B7E69"/>
    <w:rsid w:val="008C0349"/>
    <w:rsid w:val="008C39F5"/>
    <w:rsid w:val="008C4946"/>
    <w:rsid w:val="008C6B89"/>
    <w:rsid w:val="008C78BF"/>
    <w:rsid w:val="008C7967"/>
    <w:rsid w:val="008C7CCA"/>
    <w:rsid w:val="008D202F"/>
    <w:rsid w:val="008D367C"/>
    <w:rsid w:val="008D6845"/>
    <w:rsid w:val="008E3A74"/>
    <w:rsid w:val="008E3FB5"/>
    <w:rsid w:val="008E692C"/>
    <w:rsid w:val="008E7874"/>
    <w:rsid w:val="008E7BE1"/>
    <w:rsid w:val="008F1277"/>
    <w:rsid w:val="008F18D9"/>
    <w:rsid w:val="008F264F"/>
    <w:rsid w:val="008F59D8"/>
    <w:rsid w:val="008F63C4"/>
    <w:rsid w:val="008F65BB"/>
    <w:rsid w:val="008F66B0"/>
    <w:rsid w:val="008F714A"/>
    <w:rsid w:val="008F7F37"/>
    <w:rsid w:val="009002C3"/>
    <w:rsid w:val="009007F4"/>
    <w:rsid w:val="009010D0"/>
    <w:rsid w:val="009013AC"/>
    <w:rsid w:val="00901969"/>
    <w:rsid w:val="0090448D"/>
    <w:rsid w:val="00910361"/>
    <w:rsid w:val="0091276E"/>
    <w:rsid w:val="00913124"/>
    <w:rsid w:val="009137F0"/>
    <w:rsid w:val="00913FD0"/>
    <w:rsid w:val="009146E9"/>
    <w:rsid w:val="0091498D"/>
    <w:rsid w:val="00914BC3"/>
    <w:rsid w:val="00915342"/>
    <w:rsid w:val="0091570C"/>
    <w:rsid w:val="00915776"/>
    <w:rsid w:val="009200E2"/>
    <w:rsid w:val="00920B1E"/>
    <w:rsid w:val="00921991"/>
    <w:rsid w:val="00921A38"/>
    <w:rsid w:val="009224D4"/>
    <w:rsid w:val="009224EF"/>
    <w:rsid w:val="00922958"/>
    <w:rsid w:val="00922B6F"/>
    <w:rsid w:val="009233B9"/>
    <w:rsid w:val="009249F6"/>
    <w:rsid w:val="00924C57"/>
    <w:rsid w:val="00924DF9"/>
    <w:rsid w:val="00925CB8"/>
    <w:rsid w:val="00926072"/>
    <w:rsid w:val="00927164"/>
    <w:rsid w:val="00933520"/>
    <w:rsid w:val="00933E80"/>
    <w:rsid w:val="009341AE"/>
    <w:rsid w:val="00934518"/>
    <w:rsid w:val="00934D28"/>
    <w:rsid w:val="009369CE"/>
    <w:rsid w:val="00940503"/>
    <w:rsid w:val="0094108E"/>
    <w:rsid w:val="009413F9"/>
    <w:rsid w:val="00941943"/>
    <w:rsid w:val="00941D15"/>
    <w:rsid w:val="009430B0"/>
    <w:rsid w:val="00944C54"/>
    <w:rsid w:val="00944FA5"/>
    <w:rsid w:val="00945642"/>
    <w:rsid w:val="009456B0"/>
    <w:rsid w:val="00945849"/>
    <w:rsid w:val="009476E0"/>
    <w:rsid w:val="0095328B"/>
    <w:rsid w:val="00954E61"/>
    <w:rsid w:val="00955E84"/>
    <w:rsid w:val="00956105"/>
    <w:rsid w:val="00960A2A"/>
    <w:rsid w:val="00962253"/>
    <w:rsid w:val="0096284E"/>
    <w:rsid w:val="00962A2B"/>
    <w:rsid w:val="009643D1"/>
    <w:rsid w:val="00965B2B"/>
    <w:rsid w:val="00965ED9"/>
    <w:rsid w:val="009660D3"/>
    <w:rsid w:val="009669F6"/>
    <w:rsid w:val="00967012"/>
    <w:rsid w:val="00967D31"/>
    <w:rsid w:val="00970B88"/>
    <w:rsid w:val="009721A8"/>
    <w:rsid w:val="009723CC"/>
    <w:rsid w:val="00974A8B"/>
    <w:rsid w:val="00974E35"/>
    <w:rsid w:val="00976EAE"/>
    <w:rsid w:val="009774C9"/>
    <w:rsid w:val="00977EA4"/>
    <w:rsid w:val="00980475"/>
    <w:rsid w:val="00980D83"/>
    <w:rsid w:val="00981706"/>
    <w:rsid w:val="00982974"/>
    <w:rsid w:val="00983205"/>
    <w:rsid w:val="00983A7C"/>
    <w:rsid w:val="00983CA6"/>
    <w:rsid w:val="0098534B"/>
    <w:rsid w:val="0098572D"/>
    <w:rsid w:val="00985877"/>
    <w:rsid w:val="0098626F"/>
    <w:rsid w:val="00986BC3"/>
    <w:rsid w:val="009905DA"/>
    <w:rsid w:val="00991C49"/>
    <w:rsid w:val="00993A4D"/>
    <w:rsid w:val="00995DFD"/>
    <w:rsid w:val="0099768D"/>
    <w:rsid w:val="009A0173"/>
    <w:rsid w:val="009A3E9F"/>
    <w:rsid w:val="009A603D"/>
    <w:rsid w:val="009B2261"/>
    <w:rsid w:val="009B3E8D"/>
    <w:rsid w:val="009C1F48"/>
    <w:rsid w:val="009C2D0C"/>
    <w:rsid w:val="009C3120"/>
    <w:rsid w:val="009C35F8"/>
    <w:rsid w:val="009C3630"/>
    <w:rsid w:val="009C5393"/>
    <w:rsid w:val="009C65FF"/>
    <w:rsid w:val="009C6D72"/>
    <w:rsid w:val="009D0648"/>
    <w:rsid w:val="009D0907"/>
    <w:rsid w:val="009D2098"/>
    <w:rsid w:val="009D2295"/>
    <w:rsid w:val="009D3A7E"/>
    <w:rsid w:val="009D4128"/>
    <w:rsid w:val="009D63E9"/>
    <w:rsid w:val="009D684F"/>
    <w:rsid w:val="009E22FA"/>
    <w:rsid w:val="009E235F"/>
    <w:rsid w:val="009E4E04"/>
    <w:rsid w:val="009E5B0B"/>
    <w:rsid w:val="009E5E5C"/>
    <w:rsid w:val="009E630B"/>
    <w:rsid w:val="009E66E7"/>
    <w:rsid w:val="009E79A9"/>
    <w:rsid w:val="009E7C1C"/>
    <w:rsid w:val="009F3D46"/>
    <w:rsid w:val="009F47F7"/>
    <w:rsid w:val="009F4824"/>
    <w:rsid w:val="009F4829"/>
    <w:rsid w:val="009F5595"/>
    <w:rsid w:val="009F7049"/>
    <w:rsid w:val="00A006A2"/>
    <w:rsid w:val="00A02E46"/>
    <w:rsid w:val="00A0318D"/>
    <w:rsid w:val="00A033D8"/>
    <w:rsid w:val="00A03E4C"/>
    <w:rsid w:val="00A041A0"/>
    <w:rsid w:val="00A04EC2"/>
    <w:rsid w:val="00A05762"/>
    <w:rsid w:val="00A06BD9"/>
    <w:rsid w:val="00A10D87"/>
    <w:rsid w:val="00A14E9B"/>
    <w:rsid w:val="00A155A0"/>
    <w:rsid w:val="00A16060"/>
    <w:rsid w:val="00A1628B"/>
    <w:rsid w:val="00A227BF"/>
    <w:rsid w:val="00A23020"/>
    <w:rsid w:val="00A235F8"/>
    <w:rsid w:val="00A245EA"/>
    <w:rsid w:val="00A24E74"/>
    <w:rsid w:val="00A32A6E"/>
    <w:rsid w:val="00A33788"/>
    <w:rsid w:val="00A34051"/>
    <w:rsid w:val="00A3580C"/>
    <w:rsid w:val="00A35A9B"/>
    <w:rsid w:val="00A37BE9"/>
    <w:rsid w:val="00A37E4C"/>
    <w:rsid w:val="00A4007B"/>
    <w:rsid w:val="00A40D67"/>
    <w:rsid w:val="00A412B3"/>
    <w:rsid w:val="00A419AF"/>
    <w:rsid w:val="00A42A0D"/>
    <w:rsid w:val="00A43EDA"/>
    <w:rsid w:val="00A45658"/>
    <w:rsid w:val="00A47047"/>
    <w:rsid w:val="00A5048B"/>
    <w:rsid w:val="00A505EB"/>
    <w:rsid w:val="00A51CDC"/>
    <w:rsid w:val="00A53847"/>
    <w:rsid w:val="00A5556E"/>
    <w:rsid w:val="00A60069"/>
    <w:rsid w:val="00A60AF5"/>
    <w:rsid w:val="00A64BE6"/>
    <w:rsid w:val="00A652D3"/>
    <w:rsid w:val="00A65764"/>
    <w:rsid w:val="00A66064"/>
    <w:rsid w:val="00A66ED8"/>
    <w:rsid w:val="00A67A36"/>
    <w:rsid w:val="00A70252"/>
    <w:rsid w:val="00A715F8"/>
    <w:rsid w:val="00A724DE"/>
    <w:rsid w:val="00A7281C"/>
    <w:rsid w:val="00A74816"/>
    <w:rsid w:val="00A76C10"/>
    <w:rsid w:val="00A807C7"/>
    <w:rsid w:val="00A81504"/>
    <w:rsid w:val="00A81891"/>
    <w:rsid w:val="00A82655"/>
    <w:rsid w:val="00A8307B"/>
    <w:rsid w:val="00A8440B"/>
    <w:rsid w:val="00A84B58"/>
    <w:rsid w:val="00A87AA1"/>
    <w:rsid w:val="00A87C9B"/>
    <w:rsid w:val="00A933A0"/>
    <w:rsid w:val="00A941AE"/>
    <w:rsid w:val="00A94D7E"/>
    <w:rsid w:val="00A96904"/>
    <w:rsid w:val="00A977D1"/>
    <w:rsid w:val="00AA1105"/>
    <w:rsid w:val="00AA1949"/>
    <w:rsid w:val="00AA1D16"/>
    <w:rsid w:val="00AA2E16"/>
    <w:rsid w:val="00AA410A"/>
    <w:rsid w:val="00AA4BBB"/>
    <w:rsid w:val="00AA5508"/>
    <w:rsid w:val="00AA55FB"/>
    <w:rsid w:val="00AA5604"/>
    <w:rsid w:val="00AA6414"/>
    <w:rsid w:val="00AB091C"/>
    <w:rsid w:val="00AB2BB2"/>
    <w:rsid w:val="00AB324E"/>
    <w:rsid w:val="00AB4BFF"/>
    <w:rsid w:val="00AB7158"/>
    <w:rsid w:val="00AC168B"/>
    <w:rsid w:val="00AC5E9E"/>
    <w:rsid w:val="00AD1A84"/>
    <w:rsid w:val="00AD3D21"/>
    <w:rsid w:val="00AD403F"/>
    <w:rsid w:val="00AD43B0"/>
    <w:rsid w:val="00AD7B6B"/>
    <w:rsid w:val="00AE12C0"/>
    <w:rsid w:val="00AE13BA"/>
    <w:rsid w:val="00AE3BC7"/>
    <w:rsid w:val="00AE5F9E"/>
    <w:rsid w:val="00AE6C84"/>
    <w:rsid w:val="00AE726D"/>
    <w:rsid w:val="00AE7C6C"/>
    <w:rsid w:val="00AF2BE1"/>
    <w:rsid w:val="00AF5B3D"/>
    <w:rsid w:val="00AF7A47"/>
    <w:rsid w:val="00B00DEF"/>
    <w:rsid w:val="00B019ED"/>
    <w:rsid w:val="00B02BEE"/>
    <w:rsid w:val="00B03BEB"/>
    <w:rsid w:val="00B04F69"/>
    <w:rsid w:val="00B062D5"/>
    <w:rsid w:val="00B066C5"/>
    <w:rsid w:val="00B07314"/>
    <w:rsid w:val="00B07C48"/>
    <w:rsid w:val="00B118A7"/>
    <w:rsid w:val="00B11983"/>
    <w:rsid w:val="00B13882"/>
    <w:rsid w:val="00B15C65"/>
    <w:rsid w:val="00B17488"/>
    <w:rsid w:val="00B178A0"/>
    <w:rsid w:val="00B179C2"/>
    <w:rsid w:val="00B25AAF"/>
    <w:rsid w:val="00B25B6E"/>
    <w:rsid w:val="00B26211"/>
    <w:rsid w:val="00B302EA"/>
    <w:rsid w:val="00B3086F"/>
    <w:rsid w:val="00B3211D"/>
    <w:rsid w:val="00B3274B"/>
    <w:rsid w:val="00B33D9C"/>
    <w:rsid w:val="00B35C2D"/>
    <w:rsid w:val="00B402DC"/>
    <w:rsid w:val="00B406A7"/>
    <w:rsid w:val="00B40DEB"/>
    <w:rsid w:val="00B41067"/>
    <w:rsid w:val="00B41E40"/>
    <w:rsid w:val="00B4297A"/>
    <w:rsid w:val="00B442BF"/>
    <w:rsid w:val="00B44814"/>
    <w:rsid w:val="00B45133"/>
    <w:rsid w:val="00B45B6D"/>
    <w:rsid w:val="00B461F0"/>
    <w:rsid w:val="00B461FA"/>
    <w:rsid w:val="00B46D11"/>
    <w:rsid w:val="00B46ECC"/>
    <w:rsid w:val="00B50F54"/>
    <w:rsid w:val="00B512E5"/>
    <w:rsid w:val="00B51BCB"/>
    <w:rsid w:val="00B521D6"/>
    <w:rsid w:val="00B5263C"/>
    <w:rsid w:val="00B5463D"/>
    <w:rsid w:val="00B553CF"/>
    <w:rsid w:val="00B5677D"/>
    <w:rsid w:val="00B56F1A"/>
    <w:rsid w:val="00B57A83"/>
    <w:rsid w:val="00B60F4E"/>
    <w:rsid w:val="00B614D6"/>
    <w:rsid w:val="00B62C48"/>
    <w:rsid w:val="00B63706"/>
    <w:rsid w:val="00B64619"/>
    <w:rsid w:val="00B6743E"/>
    <w:rsid w:val="00B7036B"/>
    <w:rsid w:val="00B70621"/>
    <w:rsid w:val="00B716A4"/>
    <w:rsid w:val="00B721BC"/>
    <w:rsid w:val="00B72AFB"/>
    <w:rsid w:val="00B736D6"/>
    <w:rsid w:val="00B74678"/>
    <w:rsid w:val="00B74928"/>
    <w:rsid w:val="00B74AF5"/>
    <w:rsid w:val="00B75601"/>
    <w:rsid w:val="00B75DD1"/>
    <w:rsid w:val="00B767CF"/>
    <w:rsid w:val="00B7775E"/>
    <w:rsid w:val="00B77E4A"/>
    <w:rsid w:val="00B821A7"/>
    <w:rsid w:val="00B82F8A"/>
    <w:rsid w:val="00B83B4C"/>
    <w:rsid w:val="00B83D4F"/>
    <w:rsid w:val="00B8418F"/>
    <w:rsid w:val="00B853D4"/>
    <w:rsid w:val="00B859BF"/>
    <w:rsid w:val="00B87634"/>
    <w:rsid w:val="00B931D4"/>
    <w:rsid w:val="00B94287"/>
    <w:rsid w:val="00B94F60"/>
    <w:rsid w:val="00B958F5"/>
    <w:rsid w:val="00B9601C"/>
    <w:rsid w:val="00B96F62"/>
    <w:rsid w:val="00B979C7"/>
    <w:rsid w:val="00BA0984"/>
    <w:rsid w:val="00BA0A73"/>
    <w:rsid w:val="00BA0F93"/>
    <w:rsid w:val="00BA2225"/>
    <w:rsid w:val="00BA4687"/>
    <w:rsid w:val="00BA59B1"/>
    <w:rsid w:val="00BB0BF9"/>
    <w:rsid w:val="00BB1118"/>
    <w:rsid w:val="00BB381E"/>
    <w:rsid w:val="00BB3D91"/>
    <w:rsid w:val="00BB48D0"/>
    <w:rsid w:val="00BB74CB"/>
    <w:rsid w:val="00BC33C4"/>
    <w:rsid w:val="00BC56D2"/>
    <w:rsid w:val="00BC5AA1"/>
    <w:rsid w:val="00BC5F47"/>
    <w:rsid w:val="00BD1C74"/>
    <w:rsid w:val="00BD25CE"/>
    <w:rsid w:val="00BD489A"/>
    <w:rsid w:val="00BD63C4"/>
    <w:rsid w:val="00BE0345"/>
    <w:rsid w:val="00BE1B2D"/>
    <w:rsid w:val="00BE2845"/>
    <w:rsid w:val="00BE4630"/>
    <w:rsid w:val="00BE5AFD"/>
    <w:rsid w:val="00BE7220"/>
    <w:rsid w:val="00BF0E5B"/>
    <w:rsid w:val="00BF1EDD"/>
    <w:rsid w:val="00BF27C5"/>
    <w:rsid w:val="00BF33DC"/>
    <w:rsid w:val="00BF46F9"/>
    <w:rsid w:val="00BF4764"/>
    <w:rsid w:val="00BF51B6"/>
    <w:rsid w:val="00BF53C0"/>
    <w:rsid w:val="00BF5EDA"/>
    <w:rsid w:val="00C00031"/>
    <w:rsid w:val="00C01AFE"/>
    <w:rsid w:val="00C027F5"/>
    <w:rsid w:val="00C02984"/>
    <w:rsid w:val="00C03454"/>
    <w:rsid w:val="00C03A52"/>
    <w:rsid w:val="00C05E54"/>
    <w:rsid w:val="00C06949"/>
    <w:rsid w:val="00C11BC1"/>
    <w:rsid w:val="00C13107"/>
    <w:rsid w:val="00C14903"/>
    <w:rsid w:val="00C1493D"/>
    <w:rsid w:val="00C14CEE"/>
    <w:rsid w:val="00C15743"/>
    <w:rsid w:val="00C17CCF"/>
    <w:rsid w:val="00C2036E"/>
    <w:rsid w:val="00C20442"/>
    <w:rsid w:val="00C211EF"/>
    <w:rsid w:val="00C22F78"/>
    <w:rsid w:val="00C23A0E"/>
    <w:rsid w:val="00C24D96"/>
    <w:rsid w:val="00C25A49"/>
    <w:rsid w:val="00C25B0C"/>
    <w:rsid w:val="00C25B7A"/>
    <w:rsid w:val="00C25C41"/>
    <w:rsid w:val="00C25F76"/>
    <w:rsid w:val="00C26297"/>
    <w:rsid w:val="00C276FF"/>
    <w:rsid w:val="00C32013"/>
    <w:rsid w:val="00C34E80"/>
    <w:rsid w:val="00C35993"/>
    <w:rsid w:val="00C375C8"/>
    <w:rsid w:val="00C40397"/>
    <w:rsid w:val="00C40CD0"/>
    <w:rsid w:val="00C40D9D"/>
    <w:rsid w:val="00C41DA4"/>
    <w:rsid w:val="00C421BA"/>
    <w:rsid w:val="00C431ED"/>
    <w:rsid w:val="00C43B05"/>
    <w:rsid w:val="00C43C9B"/>
    <w:rsid w:val="00C44686"/>
    <w:rsid w:val="00C46001"/>
    <w:rsid w:val="00C460FB"/>
    <w:rsid w:val="00C5068E"/>
    <w:rsid w:val="00C52170"/>
    <w:rsid w:val="00C537FD"/>
    <w:rsid w:val="00C54235"/>
    <w:rsid w:val="00C55DD9"/>
    <w:rsid w:val="00C55F95"/>
    <w:rsid w:val="00C56D2D"/>
    <w:rsid w:val="00C61811"/>
    <w:rsid w:val="00C6254B"/>
    <w:rsid w:val="00C63542"/>
    <w:rsid w:val="00C63E3F"/>
    <w:rsid w:val="00C64E71"/>
    <w:rsid w:val="00C65BF6"/>
    <w:rsid w:val="00C65DB2"/>
    <w:rsid w:val="00C66C8D"/>
    <w:rsid w:val="00C708E9"/>
    <w:rsid w:val="00C709F8"/>
    <w:rsid w:val="00C71D60"/>
    <w:rsid w:val="00C726F6"/>
    <w:rsid w:val="00C729D8"/>
    <w:rsid w:val="00C74C12"/>
    <w:rsid w:val="00C7516C"/>
    <w:rsid w:val="00C7590E"/>
    <w:rsid w:val="00C760CF"/>
    <w:rsid w:val="00C81129"/>
    <w:rsid w:val="00C821CE"/>
    <w:rsid w:val="00C8254E"/>
    <w:rsid w:val="00C82669"/>
    <w:rsid w:val="00C82DCE"/>
    <w:rsid w:val="00C835A1"/>
    <w:rsid w:val="00C847CE"/>
    <w:rsid w:val="00C84BDA"/>
    <w:rsid w:val="00C85B90"/>
    <w:rsid w:val="00C875B2"/>
    <w:rsid w:val="00C907BB"/>
    <w:rsid w:val="00C91C71"/>
    <w:rsid w:val="00C9483E"/>
    <w:rsid w:val="00C95062"/>
    <w:rsid w:val="00C954AE"/>
    <w:rsid w:val="00CA4EDA"/>
    <w:rsid w:val="00CA4F0E"/>
    <w:rsid w:val="00CA5524"/>
    <w:rsid w:val="00CA6363"/>
    <w:rsid w:val="00CA6389"/>
    <w:rsid w:val="00CA6423"/>
    <w:rsid w:val="00CA703F"/>
    <w:rsid w:val="00CB0711"/>
    <w:rsid w:val="00CB0B40"/>
    <w:rsid w:val="00CB5F32"/>
    <w:rsid w:val="00CB6281"/>
    <w:rsid w:val="00CB64A3"/>
    <w:rsid w:val="00CB6B50"/>
    <w:rsid w:val="00CB7003"/>
    <w:rsid w:val="00CB7BA4"/>
    <w:rsid w:val="00CB7CA2"/>
    <w:rsid w:val="00CC081C"/>
    <w:rsid w:val="00CC19C7"/>
    <w:rsid w:val="00CC2174"/>
    <w:rsid w:val="00CC2A68"/>
    <w:rsid w:val="00CC2DE7"/>
    <w:rsid w:val="00CC7E3A"/>
    <w:rsid w:val="00CD3176"/>
    <w:rsid w:val="00CD3655"/>
    <w:rsid w:val="00CD3EC3"/>
    <w:rsid w:val="00CD445D"/>
    <w:rsid w:val="00CD4850"/>
    <w:rsid w:val="00CD4E53"/>
    <w:rsid w:val="00CD5DC8"/>
    <w:rsid w:val="00CD6531"/>
    <w:rsid w:val="00CD6914"/>
    <w:rsid w:val="00CE0718"/>
    <w:rsid w:val="00CE1D1B"/>
    <w:rsid w:val="00CE21DE"/>
    <w:rsid w:val="00CE524C"/>
    <w:rsid w:val="00CE6818"/>
    <w:rsid w:val="00CE6851"/>
    <w:rsid w:val="00CE6DFD"/>
    <w:rsid w:val="00CF053C"/>
    <w:rsid w:val="00CF054C"/>
    <w:rsid w:val="00CF1D75"/>
    <w:rsid w:val="00CF2150"/>
    <w:rsid w:val="00CF25BE"/>
    <w:rsid w:val="00CF3575"/>
    <w:rsid w:val="00CF3F0E"/>
    <w:rsid w:val="00CF420D"/>
    <w:rsid w:val="00CF6DE7"/>
    <w:rsid w:val="00CF78AC"/>
    <w:rsid w:val="00D00684"/>
    <w:rsid w:val="00D03021"/>
    <w:rsid w:val="00D0355A"/>
    <w:rsid w:val="00D0484B"/>
    <w:rsid w:val="00D05FED"/>
    <w:rsid w:val="00D068F1"/>
    <w:rsid w:val="00D0794A"/>
    <w:rsid w:val="00D1167B"/>
    <w:rsid w:val="00D12D72"/>
    <w:rsid w:val="00D15AEA"/>
    <w:rsid w:val="00D17AAB"/>
    <w:rsid w:val="00D23456"/>
    <w:rsid w:val="00D24C6A"/>
    <w:rsid w:val="00D267E0"/>
    <w:rsid w:val="00D26A03"/>
    <w:rsid w:val="00D27728"/>
    <w:rsid w:val="00D277BD"/>
    <w:rsid w:val="00D302FC"/>
    <w:rsid w:val="00D31000"/>
    <w:rsid w:val="00D317E4"/>
    <w:rsid w:val="00D318FD"/>
    <w:rsid w:val="00D32646"/>
    <w:rsid w:val="00D34113"/>
    <w:rsid w:val="00D34D3B"/>
    <w:rsid w:val="00D3676D"/>
    <w:rsid w:val="00D414E1"/>
    <w:rsid w:val="00D41911"/>
    <w:rsid w:val="00D42145"/>
    <w:rsid w:val="00D44223"/>
    <w:rsid w:val="00D446EE"/>
    <w:rsid w:val="00D45EC7"/>
    <w:rsid w:val="00D46302"/>
    <w:rsid w:val="00D50967"/>
    <w:rsid w:val="00D5151B"/>
    <w:rsid w:val="00D522D9"/>
    <w:rsid w:val="00D5472E"/>
    <w:rsid w:val="00D56674"/>
    <w:rsid w:val="00D62B40"/>
    <w:rsid w:val="00D635D1"/>
    <w:rsid w:val="00D643C1"/>
    <w:rsid w:val="00D65A92"/>
    <w:rsid w:val="00D66959"/>
    <w:rsid w:val="00D66CB4"/>
    <w:rsid w:val="00D674DE"/>
    <w:rsid w:val="00D745DF"/>
    <w:rsid w:val="00D751F4"/>
    <w:rsid w:val="00D75288"/>
    <w:rsid w:val="00D763F6"/>
    <w:rsid w:val="00D80712"/>
    <w:rsid w:val="00D81D9A"/>
    <w:rsid w:val="00D83B6B"/>
    <w:rsid w:val="00D84DA1"/>
    <w:rsid w:val="00D86952"/>
    <w:rsid w:val="00D8739D"/>
    <w:rsid w:val="00D93DEA"/>
    <w:rsid w:val="00D93EFB"/>
    <w:rsid w:val="00D9545B"/>
    <w:rsid w:val="00D9651E"/>
    <w:rsid w:val="00DA0CC5"/>
    <w:rsid w:val="00DA11C5"/>
    <w:rsid w:val="00DA2DCB"/>
    <w:rsid w:val="00DA3972"/>
    <w:rsid w:val="00DA3B15"/>
    <w:rsid w:val="00DA41EF"/>
    <w:rsid w:val="00DA4246"/>
    <w:rsid w:val="00DA4DB5"/>
    <w:rsid w:val="00DA667A"/>
    <w:rsid w:val="00DA744D"/>
    <w:rsid w:val="00DB0766"/>
    <w:rsid w:val="00DB53EC"/>
    <w:rsid w:val="00DB63C6"/>
    <w:rsid w:val="00DC0E08"/>
    <w:rsid w:val="00DC2C7B"/>
    <w:rsid w:val="00DC442E"/>
    <w:rsid w:val="00DC54D6"/>
    <w:rsid w:val="00DC5C08"/>
    <w:rsid w:val="00DC7462"/>
    <w:rsid w:val="00DD003F"/>
    <w:rsid w:val="00DD0D1D"/>
    <w:rsid w:val="00DD5942"/>
    <w:rsid w:val="00DD658B"/>
    <w:rsid w:val="00DD7D7E"/>
    <w:rsid w:val="00DE18B0"/>
    <w:rsid w:val="00DE3537"/>
    <w:rsid w:val="00DE401B"/>
    <w:rsid w:val="00DE4480"/>
    <w:rsid w:val="00DE456C"/>
    <w:rsid w:val="00DE4888"/>
    <w:rsid w:val="00DE4A13"/>
    <w:rsid w:val="00DE611A"/>
    <w:rsid w:val="00DF0C08"/>
    <w:rsid w:val="00DF0E7C"/>
    <w:rsid w:val="00DF18CC"/>
    <w:rsid w:val="00DF306E"/>
    <w:rsid w:val="00DF33D3"/>
    <w:rsid w:val="00DF365C"/>
    <w:rsid w:val="00DF382B"/>
    <w:rsid w:val="00DF3E10"/>
    <w:rsid w:val="00DF4F11"/>
    <w:rsid w:val="00DF6E6B"/>
    <w:rsid w:val="00DF6F75"/>
    <w:rsid w:val="00E003AA"/>
    <w:rsid w:val="00E0095C"/>
    <w:rsid w:val="00E017A9"/>
    <w:rsid w:val="00E03F01"/>
    <w:rsid w:val="00E04C0F"/>
    <w:rsid w:val="00E05076"/>
    <w:rsid w:val="00E05987"/>
    <w:rsid w:val="00E05AFE"/>
    <w:rsid w:val="00E06D1E"/>
    <w:rsid w:val="00E10761"/>
    <w:rsid w:val="00E1188C"/>
    <w:rsid w:val="00E13327"/>
    <w:rsid w:val="00E1555B"/>
    <w:rsid w:val="00E156DA"/>
    <w:rsid w:val="00E1700F"/>
    <w:rsid w:val="00E171D7"/>
    <w:rsid w:val="00E17730"/>
    <w:rsid w:val="00E21625"/>
    <w:rsid w:val="00E21ADA"/>
    <w:rsid w:val="00E223E1"/>
    <w:rsid w:val="00E24391"/>
    <w:rsid w:val="00E24A68"/>
    <w:rsid w:val="00E2553C"/>
    <w:rsid w:val="00E26574"/>
    <w:rsid w:val="00E26D06"/>
    <w:rsid w:val="00E278A8"/>
    <w:rsid w:val="00E30D6F"/>
    <w:rsid w:val="00E31737"/>
    <w:rsid w:val="00E3395D"/>
    <w:rsid w:val="00E37AE7"/>
    <w:rsid w:val="00E400D3"/>
    <w:rsid w:val="00E42D57"/>
    <w:rsid w:val="00E43257"/>
    <w:rsid w:val="00E51454"/>
    <w:rsid w:val="00E5231B"/>
    <w:rsid w:val="00E52D5E"/>
    <w:rsid w:val="00E537FC"/>
    <w:rsid w:val="00E574EB"/>
    <w:rsid w:val="00E600C7"/>
    <w:rsid w:val="00E61CFA"/>
    <w:rsid w:val="00E62C02"/>
    <w:rsid w:val="00E656A8"/>
    <w:rsid w:val="00E6643D"/>
    <w:rsid w:val="00E71BAB"/>
    <w:rsid w:val="00E71CEC"/>
    <w:rsid w:val="00E72024"/>
    <w:rsid w:val="00E74E7E"/>
    <w:rsid w:val="00E7563E"/>
    <w:rsid w:val="00E75787"/>
    <w:rsid w:val="00E80439"/>
    <w:rsid w:val="00E81BA9"/>
    <w:rsid w:val="00E82923"/>
    <w:rsid w:val="00E84327"/>
    <w:rsid w:val="00E843C4"/>
    <w:rsid w:val="00E85CD3"/>
    <w:rsid w:val="00E85D1E"/>
    <w:rsid w:val="00E861B7"/>
    <w:rsid w:val="00E87AD7"/>
    <w:rsid w:val="00E90171"/>
    <w:rsid w:val="00E906B0"/>
    <w:rsid w:val="00E90D5A"/>
    <w:rsid w:val="00E92973"/>
    <w:rsid w:val="00E93B57"/>
    <w:rsid w:val="00E95870"/>
    <w:rsid w:val="00E97F78"/>
    <w:rsid w:val="00EA1CF2"/>
    <w:rsid w:val="00EA22A0"/>
    <w:rsid w:val="00EA273D"/>
    <w:rsid w:val="00EA3351"/>
    <w:rsid w:val="00EA6913"/>
    <w:rsid w:val="00EB0B4C"/>
    <w:rsid w:val="00EB21D1"/>
    <w:rsid w:val="00EB42AC"/>
    <w:rsid w:val="00EB5F21"/>
    <w:rsid w:val="00EB6666"/>
    <w:rsid w:val="00EB66F5"/>
    <w:rsid w:val="00EB76E4"/>
    <w:rsid w:val="00EC0015"/>
    <w:rsid w:val="00EC0FD8"/>
    <w:rsid w:val="00EC1F97"/>
    <w:rsid w:val="00EC260C"/>
    <w:rsid w:val="00EC263B"/>
    <w:rsid w:val="00EC2685"/>
    <w:rsid w:val="00EC3963"/>
    <w:rsid w:val="00EC3FA3"/>
    <w:rsid w:val="00EC5ACF"/>
    <w:rsid w:val="00EC7942"/>
    <w:rsid w:val="00EC7C6C"/>
    <w:rsid w:val="00ED0300"/>
    <w:rsid w:val="00ED041F"/>
    <w:rsid w:val="00ED3FCB"/>
    <w:rsid w:val="00ED4A46"/>
    <w:rsid w:val="00ED765D"/>
    <w:rsid w:val="00EE1B3B"/>
    <w:rsid w:val="00EE3FE2"/>
    <w:rsid w:val="00EE40E1"/>
    <w:rsid w:val="00EE791D"/>
    <w:rsid w:val="00EF057E"/>
    <w:rsid w:val="00EF07BA"/>
    <w:rsid w:val="00EF0CB3"/>
    <w:rsid w:val="00EF114C"/>
    <w:rsid w:val="00EF136C"/>
    <w:rsid w:val="00EF1CB6"/>
    <w:rsid w:val="00EF2214"/>
    <w:rsid w:val="00EF3E25"/>
    <w:rsid w:val="00EF4B82"/>
    <w:rsid w:val="00EF4CD1"/>
    <w:rsid w:val="00EF51C7"/>
    <w:rsid w:val="00EF647A"/>
    <w:rsid w:val="00F00314"/>
    <w:rsid w:val="00F01868"/>
    <w:rsid w:val="00F0268B"/>
    <w:rsid w:val="00F02CBD"/>
    <w:rsid w:val="00F07F69"/>
    <w:rsid w:val="00F10403"/>
    <w:rsid w:val="00F10C83"/>
    <w:rsid w:val="00F11776"/>
    <w:rsid w:val="00F1459C"/>
    <w:rsid w:val="00F14AFD"/>
    <w:rsid w:val="00F15C48"/>
    <w:rsid w:val="00F15F94"/>
    <w:rsid w:val="00F1702C"/>
    <w:rsid w:val="00F21590"/>
    <w:rsid w:val="00F2226E"/>
    <w:rsid w:val="00F230D9"/>
    <w:rsid w:val="00F24BE4"/>
    <w:rsid w:val="00F26428"/>
    <w:rsid w:val="00F26448"/>
    <w:rsid w:val="00F26852"/>
    <w:rsid w:val="00F26E45"/>
    <w:rsid w:val="00F274DB"/>
    <w:rsid w:val="00F30040"/>
    <w:rsid w:val="00F31997"/>
    <w:rsid w:val="00F33089"/>
    <w:rsid w:val="00F35788"/>
    <w:rsid w:val="00F37076"/>
    <w:rsid w:val="00F400AA"/>
    <w:rsid w:val="00F40442"/>
    <w:rsid w:val="00F413C4"/>
    <w:rsid w:val="00F41F50"/>
    <w:rsid w:val="00F4545A"/>
    <w:rsid w:val="00F46339"/>
    <w:rsid w:val="00F46427"/>
    <w:rsid w:val="00F475F1"/>
    <w:rsid w:val="00F50009"/>
    <w:rsid w:val="00F50980"/>
    <w:rsid w:val="00F51A24"/>
    <w:rsid w:val="00F52AFA"/>
    <w:rsid w:val="00F537B2"/>
    <w:rsid w:val="00F60738"/>
    <w:rsid w:val="00F60E3D"/>
    <w:rsid w:val="00F614BB"/>
    <w:rsid w:val="00F61654"/>
    <w:rsid w:val="00F61B05"/>
    <w:rsid w:val="00F639F6"/>
    <w:rsid w:val="00F63D6E"/>
    <w:rsid w:val="00F65813"/>
    <w:rsid w:val="00F661A1"/>
    <w:rsid w:val="00F664E1"/>
    <w:rsid w:val="00F66AD5"/>
    <w:rsid w:val="00F66ADC"/>
    <w:rsid w:val="00F66D3C"/>
    <w:rsid w:val="00F677A4"/>
    <w:rsid w:val="00F67CE3"/>
    <w:rsid w:val="00F7150C"/>
    <w:rsid w:val="00F727ED"/>
    <w:rsid w:val="00F7284D"/>
    <w:rsid w:val="00F7486A"/>
    <w:rsid w:val="00F74962"/>
    <w:rsid w:val="00F75C08"/>
    <w:rsid w:val="00F760E6"/>
    <w:rsid w:val="00F760FC"/>
    <w:rsid w:val="00F76118"/>
    <w:rsid w:val="00F76202"/>
    <w:rsid w:val="00F76DDF"/>
    <w:rsid w:val="00F77979"/>
    <w:rsid w:val="00F8023D"/>
    <w:rsid w:val="00F81065"/>
    <w:rsid w:val="00F811FF"/>
    <w:rsid w:val="00F814BB"/>
    <w:rsid w:val="00F83233"/>
    <w:rsid w:val="00F84AF2"/>
    <w:rsid w:val="00F84F7C"/>
    <w:rsid w:val="00F863E4"/>
    <w:rsid w:val="00F86EBD"/>
    <w:rsid w:val="00F876B6"/>
    <w:rsid w:val="00F87764"/>
    <w:rsid w:val="00F909FD"/>
    <w:rsid w:val="00F90A62"/>
    <w:rsid w:val="00F91066"/>
    <w:rsid w:val="00F91876"/>
    <w:rsid w:val="00F91E8D"/>
    <w:rsid w:val="00F92440"/>
    <w:rsid w:val="00F92C0F"/>
    <w:rsid w:val="00F9432A"/>
    <w:rsid w:val="00F94435"/>
    <w:rsid w:val="00F955BA"/>
    <w:rsid w:val="00F968C2"/>
    <w:rsid w:val="00FA20CE"/>
    <w:rsid w:val="00FA235E"/>
    <w:rsid w:val="00FA3C1B"/>
    <w:rsid w:val="00FA575D"/>
    <w:rsid w:val="00FA5A9C"/>
    <w:rsid w:val="00FA78E0"/>
    <w:rsid w:val="00FB0478"/>
    <w:rsid w:val="00FB0E47"/>
    <w:rsid w:val="00FB18FA"/>
    <w:rsid w:val="00FB38BC"/>
    <w:rsid w:val="00FB5F16"/>
    <w:rsid w:val="00FB7779"/>
    <w:rsid w:val="00FC33A1"/>
    <w:rsid w:val="00FC36CC"/>
    <w:rsid w:val="00FC3D25"/>
    <w:rsid w:val="00FC3F68"/>
    <w:rsid w:val="00FC4DFD"/>
    <w:rsid w:val="00FC52DB"/>
    <w:rsid w:val="00FC5C3B"/>
    <w:rsid w:val="00FC5CB5"/>
    <w:rsid w:val="00FC6E31"/>
    <w:rsid w:val="00FC7E08"/>
    <w:rsid w:val="00FD0DFB"/>
    <w:rsid w:val="00FD2CBD"/>
    <w:rsid w:val="00FD3C11"/>
    <w:rsid w:val="00FD4304"/>
    <w:rsid w:val="00FD44C2"/>
    <w:rsid w:val="00FD47AE"/>
    <w:rsid w:val="00FD49A2"/>
    <w:rsid w:val="00FD55B8"/>
    <w:rsid w:val="00FD5A0B"/>
    <w:rsid w:val="00FD5ECC"/>
    <w:rsid w:val="00FE02D0"/>
    <w:rsid w:val="00FE16E5"/>
    <w:rsid w:val="00FE23B4"/>
    <w:rsid w:val="00FE3598"/>
    <w:rsid w:val="00FE4AB9"/>
    <w:rsid w:val="00FE6E8F"/>
    <w:rsid w:val="00FE71ED"/>
    <w:rsid w:val="00FF05EB"/>
    <w:rsid w:val="00FF21C1"/>
    <w:rsid w:val="00FF2F79"/>
    <w:rsid w:val="00FF536D"/>
    <w:rsid w:val="00FF6DAF"/>
    <w:rsid w:val="00FF7011"/>
    <w:rsid w:val="00FF7F05"/>
    <w:rsid w:val="019E6A3D"/>
    <w:rsid w:val="03641CF3"/>
    <w:rsid w:val="03F22ADB"/>
    <w:rsid w:val="053F203E"/>
    <w:rsid w:val="06287352"/>
    <w:rsid w:val="06BB6AB4"/>
    <w:rsid w:val="070A25B4"/>
    <w:rsid w:val="077E5DD5"/>
    <w:rsid w:val="07CA715A"/>
    <w:rsid w:val="095A01F4"/>
    <w:rsid w:val="11E605DE"/>
    <w:rsid w:val="12975227"/>
    <w:rsid w:val="138B2E63"/>
    <w:rsid w:val="14BC485E"/>
    <w:rsid w:val="15871D01"/>
    <w:rsid w:val="1E611584"/>
    <w:rsid w:val="1FB61AB7"/>
    <w:rsid w:val="2015399B"/>
    <w:rsid w:val="221E5A61"/>
    <w:rsid w:val="260D3ADC"/>
    <w:rsid w:val="2A4F1225"/>
    <w:rsid w:val="2DBA203F"/>
    <w:rsid w:val="2DD71F10"/>
    <w:rsid w:val="2ECA620F"/>
    <w:rsid w:val="2FD84950"/>
    <w:rsid w:val="2FF042E0"/>
    <w:rsid w:val="2FF360FB"/>
    <w:rsid w:val="33660D17"/>
    <w:rsid w:val="33BA5CB7"/>
    <w:rsid w:val="341722F1"/>
    <w:rsid w:val="35112F71"/>
    <w:rsid w:val="35F02BBE"/>
    <w:rsid w:val="364B5A61"/>
    <w:rsid w:val="372D6438"/>
    <w:rsid w:val="3B724E4B"/>
    <w:rsid w:val="3BC45001"/>
    <w:rsid w:val="3BCB3FAA"/>
    <w:rsid w:val="448A664E"/>
    <w:rsid w:val="46241AE5"/>
    <w:rsid w:val="4B235F65"/>
    <w:rsid w:val="4C110DAA"/>
    <w:rsid w:val="4DCB2829"/>
    <w:rsid w:val="4E054818"/>
    <w:rsid w:val="51D86E6F"/>
    <w:rsid w:val="536F1705"/>
    <w:rsid w:val="55953D0C"/>
    <w:rsid w:val="56254737"/>
    <w:rsid w:val="587372B5"/>
    <w:rsid w:val="5F5F7AE2"/>
    <w:rsid w:val="619066B7"/>
    <w:rsid w:val="6324633E"/>
    <w:rsid w:val="66C4133F"/>
    <w:rsid w:val="67590483"/>
    <w:rsid w:val="676573AD"/>
    <w:rsid w:val="6B125C4A"/>
    <w:rsid w:val="6D663F75"/>
    <w:rsid w:val="6D924719"/>
    <w:rsid w:val="6FDF72B8"/>
    <w:rsid w:val="732D300D"/>
    <w:rsid w:val="73B7274E"/>
    <w:rsid w:val="758B15C8"/>
    <w:rsid w:val="76864AE6"/>
    <w:rsid w:val="77A01E8E"/>
    <w:rsid w:val="7CF36E1E"/>
    <w:rsid w:val="7D4160F7"/>
    <w:rsid w:val="7DF5046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unhideWhenUsed="1" w:qFormat="1"/>
    <w:lsdException w:name="heading 3" w:uiPriority="9" w:unhideWhenUsed="1" w:qFormat="1"/>
    <w:lsdException w:name="heading 4" w:semiHidden="1" w:unhideWhenUsed="1" w:qFormat="1"/>
    <w:lsdException w:name="heading 5" w:semiHidden="1"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qFormat="1"/>
    <w:lsdException w:name="index 2" w:semiHidden="1" w:qFormat="1"/>
    <w:lsdException w:name="index 3" w:semiHidden="1" w:qFormat="1"/>
    <w:lsdException w:name="index 4" w:semiHidden="1" w:qFormat="1"/>
    <w:lsdException w:name="index 5" w:semiHidden="1" w:qFormat="1"/>
    <w:lsdException w:name="index 6" w:semiHidden="1" w:qFormat="1"/>
    <w:lsdException w:name="index 7" w:semiHidden="1" w:qFormat="1"/>
    <w:lsdException w:name="index 8" w:semiHidden="1" w:qFormat="1"/>
    <w:lsdException w:name="index 9" w:semiHidden="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semiHidden="1" w:unhideWhenUsed="1"/>
    <w:lsdException w:name="footnote text" w:semiHidden="1" w:qFormat="1"/>
    <w:lsdException w:name="annotation text" w:semiHidden="1" w:qFormat="1"/>
    <w:lsdException w:name="header" w:uiPriority="99" w:qFormat="1"/>
    <w:lsdException w:name="footer" w:uiPriority="99" w:qFormat="1"/>
    <w:lsdException w:name="index heading" w:semiHidden="1" w:qFormat="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qFormat="1"/>
    <w:lsdException w:name="annotation reference" w:semiHidden="1" w:qFormat="1"/>
    <w:lsdException w:name="line number" w:semiHidden="1" w:unhideWhenUsed="1"/>
    <w:lsdException w:name="page number" w:qFormat="1"/>
    <w:lsdException w:name="endnote reference" w:semiHidden="1" w:qFormat="1"/>
    <w:lsdException w:name="endnote text" w:semiHidden="1" w:qFormat="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unhideWhenUsed="1" w:qFormat="1"/>
    <w:lsdException w:name="Body Text Indent" w:qFormat="1"/>
    <w:lsdException w:name="List Continue" w:semiHidden="1" w:unhideWhenUsed="1"/>
    <w:lsdException w:name="Message Header" w:semiHidden="1" w:unhideWhenUsed="1"/>
    <w:lsdException w:name="Subtitle" w:qFormat="1"/>
    <w:lsdException w:name="Salutation" w:semiHidden="1" w:unhideWhenUsed="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qFormat="1"/>
    <w:lsdException w:name="Body Text Indent 3" w:qFormat="1"/>
    <w:lsdException w:name="Block Text" w:semiHidden="1" w:unhideWhenUsed="1"/>
    <w:lsdException w:name="Hyperlink" w:uiPriority="99" w:qFormat="1"/>
    <w:lsdException w:name="FollowedHyperlink" w:qFormat="1"/>
    <w:lsdException w:name="Strong" w:qFormat="1"/>
    <w:lsdException w:name="Emphasis" w:qFormat="1"/>
    <w:lsdException w:name="Document Map" w:semiHidden="1" w:qFormat="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qFormat="1"/>
    <w:lsdException w:name="Table Grid" w:uiPriority="39"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ff">
    <w:name w:val="Normal"/>
    <w:qFormat/>
    <w:rsid w:val="00F65813"/>
    <w:pPr>
      <w:widowControl w:val="0"/>
      <w:spacing w:after="200" w:line="276" w:lineRule="auto"/>
      <w:jc w:val="both"/>
    </w:pPr>
    <w:rPr>
      <w:kern w:val="2"/>
      <w:sz w:val="21"/>
      <w:szCs w:val="21"/>
    </w:rPr>
  </w:style>
  <w:style w:type="paragraph" w:styleId="1">
    <w:name w:val="heading 1"/>
    <w:basedOn w:val="aff"/>
    <w:next w:val="aff"/>
    <w:link w:val="1Char"/>
    <w:uiPriority w:val="9"/>
    <w:qFormat/>
    <w:rsid w:val="00F65813"/>
    <w:pPr>
      <w:keepNext/>
      <w:keepLines/>
      <w:spacing w:before="340" w:after="330" w:line="578" w:lineRule="auto"/>
      <w:outlineLvl w:val="0"/>
    </w:pPr>
    <w:rPr>
      <w:b/>
      <w:bCs/>
      <w:kern w:val="44"/>
      <w:sz w:val="44"/>
      <w:szCs w:val="44"/>
      <w:lang w:val="zh-CN"/>
    </w:rPr>
  </w:style>
  <w:style w:type="paragraph" w:styleId="2">
    <w:name w:val="heading 2"/>
    <w:basedOn w:val="aff"/>
    <w:next w:val="aff"/>
    <w:link w:val="2Char"/>
    <w:uiPriority w:val="9"/>
    <w:unhideWhenUsed/>
    <w:qFormat/>
    <w:rsid w:val="00F65813"/>
    <w:pPr>
      <w:keepNext/>
      <w:spacing w:before="240" w:after="60"/>
      <w:outlineLvl w:val="1"/>
    </w:pPr>
    <w:rPr>
      <w:rFonts w:ascii="Cambria" w:hAnsi="Cambria"/>
      <w:b/>
      <w:bCs/>
      <w:i/>
      <w:iCs/>
      <w:sz w:val="28"/>
      <w:szCs w:val="28"/>
    </w:rPr>
  </w:style>
  <w:style w:type="paragraph" w:styleId="3">
    <w:name w:val="heading 3"/>
    <w:basedOn w:val="aff"/>
    <w:next w:val="aff"/>
    <w:link w:val="3Char"/>
    <w:uiPriority w:val="9"/>
    <w:unhideWhenUsed/>
    <w:qFormat/>
    <w:rsid w:val="00F65813"/>
    <w:pPr>
      <w:keepNext/>
      <w:spacing w:before="240" w:after="60"/>
      <w:outlineLvl w:val="2"/>
    </w:pPr>
    <w:rPr>
      <w:rFonts w:ascii="Cambria" w:hAnsi="Cambria"/>
      <w:b/>
      <w:bCs/>
      <w:sz w:val="26"/>
      <w:szCs w:val="26"/>
    </w:rPr>
  </w:style>
  <w:style w:type="paragraph" w:styleId="6">
    <w:name w:val="heading 6"/>
    <w:basedOn w:val="aff"/>
    <w:next w:val="aff"/>
    <w:link w:val="6Char"/>
    <w:uiPriority w:val="9"/>
    <w:semiHidden/>
    <w:unhideWhenUsed/>
    <w:qFormat/>
    <w:rsid w:val="00F65813"/>
    <w:pPr>
      <w:keepNext/>
      <w:keepLines/>
      <w:spacing w:before="200"/>
      <w:outlineLvl w:val="5"/>
    </w:pPr>
    <w:rPr>
      <w:rFonts w:ascii="Cambria" w:hAnsi="Cambria"/>
      <w:i/>
      <w:iCs/>
      <w:color w:val="243F60"/>
      <w:lang w:val="zh-CN"/>
    </w:rPr>
  </w:style>
  <w:style w:type="character" w:default="1" w:styleId="aff0">
    <w:name w:val="Default Paragraph Font"/>
    <w:uiPriority w:val="1"/>
    <w:semiHidden/>
    <w:unhideWhenUsed/>
  </w:style>
  <w:style w:type="table" w:default="1" w:styleId="aff1">
    <w:name w:val="Normal Table"/>
    <w:uiPriority w:val="99"/>
    <w:semiHidden/>
    <w:unhideWhenUsed/>
    <w:qFormat/>
    <w:tblPr>
      <w:tblInd w:w="0" w:type="dxa"/>
      <w:tblCellMar>
        <w:top w:w="0" w:type="dxa"/>
        <w:left w:w="108" w:type="dxa"/>
        <w:bottom w:w="0" w:type="dxa"/>
        <w:right w:w="108" w:type="dxa"/>
      </w:tblCellMar>
    </w:tblPr>
  </w:style>
  <w:style w:type="numbering" w:default="1" w:styleId="aff2">
    <w:name w:val="No List"/>
    <w:uiPriority w:val="99"/>
    <w:semiHidden/>
    <w:unhideWhenUsed/>
  </w:style>
  <w:style w:type="paragraph" w:styleId="7">
    <w:name w:val="toc 7"/>
    <w:basedOn w:val="aff"/>
    <w:next w:val="aff"/>
    <w:uiPriority w:val="39"/>
    <w:qFormat/>
    <w:rsid w:val="00F65813"/>
    <w:pPr>
      <w:tabs>
        <w:tab w:val="right" w:leader="dot" w:pos="9241"/>
      </w:tabs>
      <w:ind w:firstLineChars="500" w:firstLine="500"/>
      <w:jc w:val="left"/>
    </w:pPr>
    <w:rPr>
      <w:rFonts w:ascii="宋体" w:cs="宋体"/>
    </w:rPr>
  </w:style>
  <w:style w:type="paragraph" w:styleId="8">
    <w:name w:val="index 8"/>
    <w:basedOn w:val="aff"/>
    <w:next w:val="aff"/>
    <w:semiHidden/>
    <w:qFormat/>
    <w:rsid w:val="00F65813"/>
    <w:pPr>
      <w:ind w:left="1680" w:hanging="210"/>
      <w:jc w:val="left"/>
    </w:pPr>
    <w:rPr>
      <w:rFonts w:ascii="Calibri" w:hAnsi="Calibri" w:cs="Calibri"/>
      <w:sz w:val="20"/>
      <w:szCs w:val="20"/>
    </w:rPr>
  </w:style>
  <w:style w:type="paragraph" w:styleId="aff3">
    <w:name w:val="caption"/>
    <w:basedOn w:val="aff"/>
    <w:next w:val="aff"/>
    <w:qFormat/>
    <w:rsid w:val="00F65813"/>
    <w:pPr>
      <w:spacing w:before="152" w:after="160"/>
    </w:pPr>
    <w:rPr>
      <w:rFonts w:ascii="Arial" w:eastAsia="黑体" w:hAnsi="Arial" w:cs="Arial"/>
      <w:sz w:val="20"/>
      <w:szCs w:val="20"/>
    </w:rPr>
  </w:style>
  <w:style w:type="paragraph" w:styleId="5">
    <w:name w:val="index 5"/>
    <w:basedOn w:val="aff"/>
    <w:next w:val="aff"/>
    <w:semiHidden/>
    <w:qFormat/>
    <w:rsid w:val="00F65813"/>
    <w:pPr>
      <w:ind w:left="1050" w:hanging="210"/>
      <w:jc w:val="left"/>
    </w:pPr>
    <w:rPr>
      <w:rFonts w:ascii="Calibri" w:hAnsi="Calibri" w:cs="Calibri"/>
      <w:sz w:val="20"/>
      <w:szCs w:val="20"/>
    </w:rPr>
  </w:style>
  <w:style w:type="paragraph" w:styleId="aff4">
    <w:name w:val="Document Map"/>
    <w:basedOn w:val="aff"/>
    <w:link w:val="Char"/>
    <w:semiHidden/>
    <w:qFormat/>
    <w:rsid w:val="00F65813"/>
    <w:pPr>
      <w:shd w:val="clear" w:color="auto" w:fill="000080"/>
    </w:pPr>
    <w:rPr>
      <w:lang w:val="zh-CN"/>
    </w:rPr>
  </w:style>
  <w:style w:type="paragraph" w:styleId="aff5">
    <w:name w:val="annotation text"/>
    <w:basedOn w:val="aff"/>
    <w:link w:val="Char0"/>
    <w:semiHidden/>
    <w:qFormat/>
    <w:rsid w:val="00F65813"/>
    <w:pPr>
      <w:jc w:val="left"/>
    </w:pPr>
    <w:rPr>
      <w:lang w:val="zh-CN"/>
    </w:rPr>
  </w:style>
  <w:style w:type="paragraph" w:styleId="60">
    <w:name w:val="index 6"/>
    <w:basedOn w:val="aff"/>
    <w:next w:val="aff"/>
    <w:semiHidden/>
    <w:qFormat/>
    <w:rsid w:val="00F65813"/>
    <w:pPr>
      <w:ind w:left="1260" w:hanging="210"/>
      <w:jc w:val="left"/>
    </w:pPr>
    <w:rPr>
      <w:rFonts w:ascii="Calibri" w:hAnsi="Calibri" w:cs="Calibri"/>
      <w:sz w:val="20"/>
      <w:szCs w:val="20"/>
    </w:rPr>
  </w:style>
  <w:style w:type="paragraph" w:styleId="aff6">
    <w:name w:val="Body Text"/>
    <w:basedOn w:val="aff"/>
    <w:link w:val="Char1"/>
    <w:unhideWhenUsed/>
    <w:qFormat/>
    <w:rsid w:val="00F65813"/>
    <w:pPr>
      <w:spacing w:after="120"/>
    </w:pPr>
  </w:style>
  <w:style w:type="paragraph" w:styleId="aff7">
    <w:name w:val="Body Text Indent"/>
    <w:basedOn w:val="aff"/>
    <w:link w:val="Char2"/>
    <w:qFormat/>
    <w:rsid w:val="00F65813"/>
    <w:pPr>
      <w:spacing w:after="120"/>
      <w:ind w:leftChars="200" w:left="200"/>
    </w:pPr>
    <w:rPr>
      <w:lang w:val="zh-CN"/>
    </w:rPr>
  </w:style>
  <w:style w:type="paragraph" w:styleId="4">
    <w:name w:val="index 4"/>
    <w:basedOn w:val="aff"/>
    <w:next w:val="aff"/>
    <w:semiHidden/>
    <w:qFormat/>
    <w:rsid w:val="00F65813"/>
    <w:pPr>
      <w:ind w:left="840" w:hanging="210"/>
      <w:jc w:val="left"/>
    </w:pPr>
    <w:rPr>
      <w:rFonts w:ascii="Calibri" w:hAnsi="Calibri" w:cs="Calibri"/>
      <w:sz w:val="20"/>
      <w:szCs w:val="20"/>
    </w:rPr>
  </w:style>
  <w:style w:type="paragraph" w:styleId="50">
    <w:name w:val="toc 5"/>
    <w:basedOn w:val="aff"/>
    <w:next w:val="aff"/>
    <w:uiPriority w:val="39"/>
    <w:qFormat/>
    <w:rsid w:val="00F65813"/>
    <w:pPr>
      <w:tabs>
        <w:tab w:val="right" w:leader="dot" w:pos="9241"/>
      </w:tabs>
      <w:ind w:firstLineChars="300" w:firstLine="300"/>
      <w:jc w:val="left"/>
    </w:pPr>
    <w:rPr>
      <w:rFonts w:ascii="宋体" w:cs="宋体"/>
    </w:rPr>
  </w:style>
  <w:style w:type="paragraph" w:styleId="30">
    <w:name w:val="toc 3"/>
    <w:basedOn w:val="aff"/>
    <w:next w:val="aff"/>
    <w:uiPriority w:val="39"/>
    <w:qFormat/>
    <w:rsid w:val="00F65813"/>
    <w:pPr>
      <w:tabs>
        <w:tab w:val="right" w:leader="dot" w:pos="9241"/>
      </w:tabs>
      <w:ind w:firstLineChars="100" w:firstLine="100"/>
      <w:jc w:val="left"/>
    </w:pPr>
    <w:rPr>
      <w:rFonts w:ascii="宋体" w:cs="宋体"/>
    </w:rPr>
  </w:style>
  <w:style w:type="paragraph" w:styleId="80">
    <w:name w:val="toc 8"/>
    <w:basedOn w:val="aff"/>
    <w:next w:val="aff"/>
    <w:uiPriority w:val="39"/>
    <w:qFormat/>
    <w:rsid w:val="00F65813"/>
    <w:pPr>
      <w:tabs>
        <w:tab w:val="right" w:leader="dot" w:pos="9241"/>
      </w:tabs>
      <w:ind w:firstLineChars="600" w:firstLine="600"/>
      <w:jc w:val="left"/>
    </w:pPr>
    <w:rPr>
      <w:rFonts w:ascii="宋体" w:cs="宋体"/>
    </w:rPr>
  </w:style>
  <w:style w:type="paragraph" w:styleId="31">
    <w:name w:val="index 3"/>
    <w:basedOn w:val="aff"/>
    <w:next w:val="aff"/>
    <w:semiHidden/>
    <w:qFormat/>
    <w:rsid w:val="00F65813"/>
    <w:pPr>
      <w:ind w:left="630" w:hanging="210"/>
      <w:jc w:val="left"/>
    </w:pPr>
    <w:rPr>
      <w:rFonts w:ascii="Calibri" w:hAnsi="Calibri" w:cs="Calibri"/>
      <w:sz w:val="20"/>
      <w:szCs w:val="20"/>
    </w:rPr>
  </w:style>
  <w:style w:type="paragraph" w:styleId="aff8">
    <w:name w:val="Date"/>
    <w:basedOn w:val="aff"/>
    <w:next w:val="aff"/>
    <w:link w:val="Char3"/>
    <w:qFormat/>
    <w:rsid w:val="00F65813"/>
    <w:pPr>
      <w:ind w:leftChars="2500" w:left="2500"/>
    </w:pPr>
    <w:rPr>
      <w:kern w:val="0"/>
      <w:sz w:val="24"/>
      <w:szCs w:val="24"/>
      <w:lang w:val="zh-CN"/>
    </w:rPr>
  </w:style>
  <w:style w:type="paragraph" w:styleId="20">
    <w:name w:val="Body Text Indent 2"/>
    <w:basedOn w:val="aff"/>
    <w:link w:val="2Char0"/>
    <w:qFormat/>
    <w:rsid w:val="00F65813"/>
    <w:pPr>
      <w:spacing w:after="120" w:line="480" w:lineRule="auto"/>
      <w:ind w:leftChars="200" w:left="200"/>
    </w:pPr>
    <w:rPr>
      <w:lang w:val="zh-CN"/>
    </w:rPr>
  </w:style>
  <w:style w:type="paragraph" w:styleId="aff9">
    <w:name w:val="endnote text"/>
    <w:basedOn w:val="aff"/>
    <w:link w:val="Char4"/>
    <w:semiHidden/>
    <w:qFormat/>
    <w:rsid w:val="00F65813"/>
    <w:pPr>
      <w:snapToGrid w:val="0"/>
      <w:jc w:val="left"/>
    </w:pPr>
    <w:rPr>
      <w:lang w:val="zh-CN"/>
    </w:rPr>
  </w:style>
  <w:style w:type="paragraph" w:styleId="affa">
    <w:name w:val="Balloon Text"/>
    <w:basedOn w:val="aff"/>
    <w:link w:val="Char5"/>
    <w:uiPriority w:val="99"/>
    <w:semiHidden/>
    <w:qFormat/>
    <w:rsid w:val="00F65813"/>
    <w:rPr>
      <w:sz w:val="18"/>
      <w:szCs w:val="18"/>
      <w:lang w:val="zh-CN"/>
    </w:rPr>
  </w:style>
  <w:style w:type="paragraph" w:styleId="affb">
    <w:name w:val="footer"/>
    <w:basedOn w:val="aff"/>
    <w:link w:val="Char6"/>
    <w:uiPriority w:val="99"/>
    <w:qFormat/>
    <w:rsid w:val="00F65813"/>
    <w:pPr>
      <w:snapToGrid w:val="0"/>
      <w:ind w:rightChars="100" w:right="100"/>
      <w:jc w:val="right"/>
    </w:pPr>
    <w:rPr>
      <w:sz w:val="18"/>
      <w:szCs w:val="18"/>
      <w:lang w:val="zh-CN"/>
    </w:rPr>
  </w:style>
  <w:style w:type="paragraph" w:styleId="affc">
    <w:name w:val="header"/>
    <w:basedOn w:val="aff"/>
    <w:link w:val="Char7"/>
    <w:uiPriority w:val="99"/>
    <w:qFormat/>
    <w:rsid w:val="00F65813"/>
    <w:pPr>
      <w:snapToGrid w:val="0"/>
      <w:jc w:val="left"/>
    </w:pPr>
    <w:rPr>
      <w:sz w:val="18"/>
      <w:szCs w:val="18"/>
      <w:lang w:val="zh-CN"/>
    </w:rPr>
  </w:style>
  <w:style w:type="paragraph" w:styleId="10">
    <w:name w:val="toc 1"/>
    <w:basedOn w:val="aff"/>
    <w:next w:val="aff"/>
    <w:uiPriority w:val="39"/>
    <w:qFormat/>
    <w:rsid w:val="00F65813"/>
    <w:pPr>
      <w:tabs>
        <w:tab w:val="right" w:leader="dot" w:pos="8222"/>
      </w:tabs>
      <w:spacing w:beforeLines="25" w:afterLines="25"/>
      <w:jc w:val="left"/>
    </w:pPr>
    <w:rPr>
      <w:rFonts w:ascii="宋体" w:cs="宋体"/>
    </w:rPr>
  </w:style>
  <w:style w:type="paragraph" w:styleId="40">
    <w:name w:val="toc 4"/>
    <w:basedOn w:val="aff"/>
    <w:next w:val="aff"/>
    <w:uiPriority w:val="39"/>
    <w:qFormat/>
    <w:rsid w:val="00F65813"/>
    <w:pPr>
      <w:tabs>
        <w:tab w:val="right" w:leader="dot" w:pos="9241"/>
      </w:tabs>
      <w:ind w:firstLineChars="200" w:firstLine="200"/>
      <w:jc w:val="left"/>
    </w:pPr>
    <w:rPr>
      <w:rFonts w:ascii="宋体" w:cs="宋体"/>
    </w:rPr>
  </w:style>
  <w:style w:type="paragraph" w:styleId="affd">
    <w:name w:val="index heading"/>
    <w:basedOn w:val="aff"/>
    <w:next w:val="11"/>
    <w:semiHidden/>
    <w:qFormat/>
    <w:rsid w:val="00F65813"/>
    <w:pPr>
      <w:spacing w:before="120" w:after="120"/>
      <w:jc w:val="center"/>
    </w:pPr>
    <w:rPr>
      <w:rFonts w:ascii="Calibri" w:hAnsi="Calibri" w:cs="Calibri"/>
      <w:b/>
      <w:bCs/>
    </w:rPr>
  </w:style>
  <w:style w:type="paragraph" w:styleId="11">
    <w:name w:val="index 1"/>
    <w:basedOn w:val="aff"/>
    <w:next w:val="affe"/>
    <w:semiHidden/>
    <w:qFormat/>
    <w:rsid w:val="00F65813"/>
    <w:pPr>
      <w:tabs>
        <w:tab w:val="right" w:leader="dot" w:pos="9299"/>
      </w:tabs>
      <w:jc w:val="left"/>
    </w:pPr>
    <w:rPr>
      <w:rFonts w:ascii="宋体" w:cs="宋体"/>
    </w:rPr>
  </w:style>
  <w:style w:type="paragraph" w:customStyle="1" w:styleId="affe">
    <w:name w:val="段"/>
    <w:qFormat/>
    <w:rsid w:val="00F65813"/>
    <w:pPr>
      <w:tabs>
        <w:tab w:val="center" w:pos="4201"/>
        <w:tab w:val="right" w:leader="dot" w:pos="9298"/>
      </w:tabs>
      <w:autoSpaceDE w:val="0"/>
      <w:autoSpaceDN w:val="0"/>
      <w:spacing w:after="200" w:line="276" w:lineRule="auto"/>
      <w:ind w:firstLineChars="200" w:firstLine="200"/>
      <w:jc w:val="both"/>
    </w:pPr>
    <w:rPr>
      <w:rFonts w:ascii="宋体" w:cs="宋体"/>
      <w:sz w:val="21"/>
      <w:szCs w:val="21"/>
    </w:rPr>
  </w:style>
  <w:style w:type="paragraph" w:styleId="ae">
    <w:name w:val="footnote text"/>
    <w:basedOn w:val="aff"/>
    <w:link w:val="Char8"/>
    <w:semiHidden/>
    <w:qFormat/>
    <w:rsid w:val="00F65813"/>
    <w:pPr>
      <w:numPr>
        <w:numId w:val="1"/>
      </w:numPr>
      <w:snapToGrid w:val="0"/>
      <w:jc w:val="left"/>
    </w:pPr>
    <w:rPr>
      <w:rFonts w:ascii="宋体"/>
      <w:sz w:val="18"/>
      <w:szCs w:val="18"/>
      <w:lang w:val="zh-CN"/>
    </w:rPr>
  </w:style>
  <w:style w:type="paragraph" w:styleId="61">
    <w:name w:val="toc 6"/>
    <w:basedOn w:val="aff"/>
    <w:next w:val="aff"/>
    <w:uiPriority w:val="39"/>
    <w:qFormat/>
    <w:rsid w:val="00F65813"/>
    <w:pPr>
      <w:tabs>
        <w:tab w:val="right" w:leader="dot" w:pos="9241"/>
      </w:tabs>
      <w:ind w:firstLineChars="400" w:firstLine="400"/>
      <w:jc w:val="left"/>
    </w:pPr>
    <w:rPr>
      <w:rFonts w:ascii="宋体" w:cs="宋体"/>
    </w:rPr>
  </w:style>
  <w:style w:type="paragraph" w:styleId="32">
    <w:name w:val="Body Text Indent 3"/>
    <w:basedOn w:val="aff"/>
    <w:link w:val="3Char0"/>
    <w:qFormat/>
    <w:rsid w:val="00F65813"/>
    <w:pPr>
      <w:ind w:firstLineChars="200" w:firstLine="200"/>
    </w:pPr>
    <w:rPr>
      <w:spacing w:val="20"/>
      <w:kern w:val="0"/>
      <w:lang w:val="zh-CN"/>
    </w:rPr>
  </w:style>
  <w:style w:type="paragraph" w:styleId="70">
    <w:name w:val="index 7"/>
    <w:basedOn w:val="aff"/>
    <w:next w:val="aff"/>
    <w:semiHidden/>
    <w:qFormat/>
    <w:rsid w:val="00F65813"/>
    <w:pPr>
      <w:ind w:left="1470" w:hanging="210"/>
      <w:jc w:val="left"/>
    </w:pPr>
    <w:rPr>
      <w:rFonts w:ascii="Calibri" w:hAnsi="Calibri" w:cs="Calibri"/>
      <w:sz w:val="20"/>
      <w:szCs w:val="20"/>
    </w:rPr>
  </w:style>
  <w:style w:type="paragraph" w:styleId="9">
    <w:name w:val="index 9"/>
    <w:basedOn w:val="aff"/>
    <w:next w:val="aff"/>
    <w:semiHidden/>
    <w:qFormat/>
    <w:rsid w:val="00F65813"/>
    <w:pPr>
      <w:ind w:left="1890" w:hanging="210"/>
      <w:jc w:val="left"/>
    </w:pPr>
    <w:rPr>
      <w:rFonts w:ascii="Calibri" w:hAnsi="Calibri" w:cs="Calibri"/>
      <w:sz w:val="20"/>
      <w:szCs w:val="20"/>
    </w:rPr>
  </w:style>
  <w:style w:type="paragraph" w:styleId="21">
    <w:name w:val="toc 2"/>
    <w:basedOn w:val="aff"/>
    <w:next w:val="aff"/>
    <w:uiPriority w:val="39"/>
    <w:qFormat/>
    <w:rsid w:val="00F65813"/>
    <w:pPr>
      <w:tabs>
        <w:tab w:val="right" w:leader="dot" w:pos="9241"/>
      </w:tabs>
    </w:pPr>
    <w:rPr>
      <w:rFonts w:ascii="宋体" w:cs="宋体"/>
    </w:rPr>
  </w:style>
  <w:style w:type="paragraph" w:styleId="90">
    <w:name w:val="toc 9"/>
    <w:basedOn w:val="aff"/>
    <w:next w:val="aff"/>
    <w:uiPriority w:val="39"/>
    <w:qFormat/>
    <w:rsid w:val="00F65813"/>
    <w:pPr>
      <w:ind w:left="1470"/>
      <w:jc w:val="left"/>
    </w:pPr>
    <w:rPr>
      <w:sz w:val="20"/>
      <w:szCs w:val="20"/>
    </w:rPr>
  </w:style>
  <w:style w:type="paragraph" w:styleId="22">
    <w:name w:val="index 2"/>
    <w:basedOn w:val="aff"/>
    <w:next w:val="aff"/>
    <w:semiHidden/>
    <w:qFormat/>
    <w:rsid w:val="00F65813"/>
    <w:pPr>
      <w:ind w:left="420" w:hanging="210"/>
      <w:jc w:val="left"/>
    </w:pPr>
    <w:rPr>
      <w:rFonts w:ascii="Calibri" w:hAnsi="Calibri" w:cs="Calibri"/>
      <w:sz w:val="20"/>
      <w:szCs w:val="20"/>
    </w:rPr>
  </w:style>
  <w:style w:type="paragraph" w:styleId="afff">
    <w:name w:val="annotation subject"/>
    <w:basedOn w:val="aff5"/>
    <w:next w:val="aff5"/>
    <w:link w:val="Char9"/>
    <w:semiHidden/>
    <w:qFormat/>
    <w:rsid w:val="00F65813"/>
    <w:rPr>
      <w:b/>
      <w:bCs/>
    </w:rPr>
  </w:style>
  <w:style w:type="table" w:styleId="afff0">
    <w:name w:val="Table Grid"/>
    <w:basedOn w:val="aff1"/>
    <w:uiPriority w:val="39"/>
    <w:qFormat/>
    <w:rsid w:val="00F6581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1">
    <w:name w:val="endnote reference"/>
    <w:semiHidden/>
    <w:qFormat/>
    <w:rsid w:val="00F65813"/>
    <w:rPr>
      <w:vertAlign w:val="superscript"/>
    </w:rPr>
  </w:style>
  <w:style w:type="character" w:styleId="afff2">
    <w:name w:val="page number"/>
    <w:qFormat/>
    <w:rsid w:val="00F65813"/>
    <w:rPr>
      <w:rFonts w:ascii="Times New Roman" w:eastAsia="宋体" w:hAnsi="Times New Roman" w:cs="Times New Roman"/>
      <w:sz w:val="18"/>
      <w:szCs w:val="18"/>
    </w:rPr>
  </w:style>
  <w:style w:type="character" w:styleId="afff3">
    <w:name w:val="FollowedHyperlink"/>
    <w:qFormat/>
    <w:rsid w:val="00F65813"/>
    <w:rPr>
      <w:color w:val="800080"/>
      <w:u w:val="single"/>
    </w:rPr>
  </w:style>
  <w:style w:type="character" w:styleId="afff4">
    <w:name w:val="Hyperlink"/>
    <w:uiPriority w:val="99"/>
    <w:qFormat/>
    <w:rsid w:val="00F65813"/>
    <w:rPr>
      <w:color w:val="0000FF"/>
      <w:spacing w:val="0"/>
      <w:w w:val="100"/>
      <w:sz w:val="21"/>
      <w:szCs w:val="21"/>
      <w:u w:val="single"/>
    </w:rPr>
  </w:style>
  <w:style w:type="character" w:styleId="afff5">
    <w:name w:val="annotation reference"/>
    <w:semiHidden/>
    <w:qFormat/>
    <w:rsid w:val="00F65813"/>
    <w:rPr>
      <w:sz w:val="21"/>
      <w:szCs w:val="21"/>
    </w:rPr>
  </w:style>
  <w:style w:type="character" w:styleId="afff6">
    <w:name w:val="footnote reference"/>
    <w:semiHidden/>
    <w:qFormat/>
    <w:rsid w:val="00F65813"/>
    <w:rPr>
      <w:vertAlign w:val="superscript"/>
    </w:rPr>
  </w:style>
  <w:style w:type="character" w:customStyle="1" w:styleId="Chara">
    <w:name w:val="段 Char"/>
    <w:qFormat/>
    <w:rsid w:val="00F65813"/>
    <w:rPr>
      <w:rFonts w:ascii="宋体" w:cs="宋体"/>
      <w:sz w:val="21"/>
      <w:szCs w:val="21"/>
      <w:lang w:val="en-US" w:eastAsia="zh-CN"/>
    </w:rPr>
  </w:style>
  <w:style w:type="paragraph" w:customStyle="1" w:styleId="a4">
    <w:name w:val="一级条标题"/>
    <w:next w:val="affe"/>
    <w:qFormat/>
    <w:rsid w:val="00F65813"/>
    <w:pPr>
      <w:numPr>
        <w:ilvl w:val="1"/>
        <w:numId w:val="2"/>
      </w:numPr>
      <w:spacing w:beforeLines="50" w:afterLines="50" w:line="276" w:lineRule="auto"/>
      <w:outlineLvl w:val="2"/>
    </w:pPr>
    <w:rPr>
      <w:rFonts w:ascii="黑体" w:eastAsia="黑体" w:cs="黑体"/>
      <w:sz w:val="21"/>
      <w:szCs w:val="21"/>
    </w:rPr>
  </w:style>
  <w:style w:type="paragraph" w:customStyle="1" w:styleId="afff7">
    <w:name w:val="标准书脚_奇数页"/>
    <w:qFormat/>
    <w:rsid w:val="00F65813"/>
    <w:pPr>
      <w:spacing w:before="120" w:after="200" w:line="276" w:lineRule="auto"/>
      <w:ind w:right="198"/>
      <w:jc w:val="right"/>
    </w:pPr>
    <w:rPr>
      <w:rFonts w:ascii="宋体" w:cs="宋体"/>
      <w:sz w:val="18"/>
      <w:szCs w:val="18"/>
    </w:rPr>
  </w:style>
  <w:style w:type="paragraph" w:customStyle="1" w:styleId="afff8">
    <w:name w:val="标准书眉_奇数页"/>
    <w:next w:val="aff"/>
    <w:qFormat/>
    <w:rsid w:val="00F65813"/>
    <w:pPr>
      <w:tabs>
        <w:tab w:val="center" w:pos="4154"/>
        <w:tab w:val="right" w:pos="8306"/>
      </w:tabs>
      <w:spacing w:after="220" w:line="276" w:lineRule="auto"/>
      <w:jc w:val="right"/>
    </w:pPr>
    <w:rPr>
      <w:rFonts w:ascii="黑体" w:eastAsia="黑体" w:cs="黑体"/>
      <w:sz w:val="21"/>
      <w:szCs w:val="21"/>
    </w:rPr>
  </w:style>
  <w:style w:type="paragraph" w:customStyle="1" w:styleId="a3">
    <w:name w:val="章标题"/>
    <w:next w:val="affe"/>
    <w:qFormat/>
    <w:rsid w:val="00F65813"/>
    <w:pPr>
      <w:numPr>
        <w:numId w:val="2"/>
      </w:numPr>
      <w:spacing w:beforeLines="100" w:afterLines="100" w:line="276" w:lineRule="auto"/>
      <w:jc w:val="both"/>
      <w:outlineLvl w:val="1"/>
    </w:pPr>
    <w:rPr>
      <w:rFonts w:ascii="黑体" w:eastAsia="黑体" w:cs="黑体"/>
      <w:sz w:val="21"/>
      <w:szCs w:val="21"/>
    </w:rPr>
  </w:style>
  <w:style w:type="paragraph" w:customStyle="1" w:styleId="a5">
    <w:name w:val="二级条标题"/>
    <w:basedOn w:val="a4"/>
    <w:next w:val="affe"/>
    <w:qFormat/>
    <w:rsid w:val="00F65813"/>
    <w:pPr>
      <w:numPr>
        <w:ilvl w:val="2"/>
      </w:numPr>
      <w:spacing w:before="50" w:after="50"/>
      <w:outlineLvl w:val="3"/>
    </w:pPr>
  </w:style>
  <w:style w:type="paragraph" w:customStyle="1" w:styleId="23">
    <w:name w:val="封面标准号2"/>
    <w:qFormat/>
    <w:rsid w:val="00F65813"/>
    <w:pPr>
      <w:framePr w:w="9140" w:h="1242" w:hRule="exact" w:hSpace="284" w:wrap="around" w:vAnchor="page" w:hAnchor="page" w:x="1645" w:y="2910" w:anchorLock="1"/>
      <w:spacing w:before="357" w:after="200" w:line="280" w:lineRule="exact"/>
      <w:jc w:val="right"/>
    </w:pPr>
    <w:rPr>
      <w:rFonts w:ascii="黑体" w:eastAsia="黑体" w:cs="黑体"/>
      <w:sz w:val="28"/>
      <w:szCs w:val="28"/>
    </w:rPr>
  </w:style>
  <w:style w:type="paragraph" w:customStyle="1" w:styleId="ab">
    <w:name w:val="列项——（一级）"/>
    <w:qFormat/>
    <w:rsid w:val="00F65813"/>
    <w:pPr>
      <w:widowControl w:val="0"/>
      <w:numPr>
        <w:numId w:val="3"/>
      </w:numPr>
      <w:spacing w:after="200" w:line="276" w:lineRule="auto"/>
      <w:jc w:val="both"/>
    </w:pPr>
    <w:rPr>
      <w:rFonts w:ascii="宋体" w:cs="宋体"/>
      <w:sz w:val="21"/>
      <w:szCs w:val="21"/>
    </w:rPr>
  </w:style>
  <w:style w:type="paragraph" w:customStyle="1" w:styleId="ac">
    <w:name w:val="列项●（二级）"/>
    <w:qFormat/>
    <w:rsid w:val="00F65813"/>
    <w:pPr>
      <w:numPr>
        <w:ilvl w:val="1"/>
        <w:numId w:val="3"/>
      </w:numPr>
      <w:tabs>
        <w:tab w:val="left" w:pos="840"/>
      </w:tabs>
      <w:spacing w:after="200" w:line="276" w:lineRule="auto"/>
      <w:jc w:val="both"/>
    </w:pPr>
    <w:rPr>
      <w:rFonts w:ascii="宋体" w:cs="宋体"/>
      <w:sz w:val="21"/>
      <w:szCs w:val="21"/>
    </w:rPr>
  </w:style>
  <w:style w:type="paragraph" w:customStyle="1" w:styleId="afff9">
    <w:name w:val="目次、标准名称标题"/>
    <w:basedOn w:val="aff"/>
    <w:next w:val="affe"/>
    <w:qFormat/>
    <w:rsid w:val="00F65813"/>
    <w:pPr>
      <w:keepNext/>
      <w:pageBreakBefore/>
      <w:widowControl/>
      <w:shd w:val="clear" w:color="FFFFFF" w:fill="FFFFFF"/>
      <w:spacing w:before="640" w:after="560" w:line="460" w:lineRule="exact"/>
      <w:jc w:val="center"/>
      <w:outlineLvl w:val="0"/>
    </w:pPr>
    <w:rPr>
      <w:rFonts w:ascii="黑体" w:eastAsia="黑体" w:cs="黑体"/>
      <w:kern w:val="0"/>
      <w:sz w:val="32"/>
      <w:szCs w:val="32"/>
    </w:rPr>
  </w:style>
  <w:style w:type="paragraph" w:customStyle="1" w:styleId="afffa">
    <w:name w:val="三级条标题"/>
    <w:basedOn w:val="a5"/>
    <w:next w:val="affe"/>
    <w:qFormat/>
    <w:rsid w:val="00F65813"/>
    <w:pPr>
      <w:numPr>
        <w:ilvl w:val="0"/>
        <w:numId w:val="0"/>
      </w:numPr>
      <w:outlineLvl w:val="4"/>
    </w:pPr>
  </w:style>
  <w:style w:type="paragraph" w:customStyle="1" w:styleId="a0">
    <w:name w:val="示例"/>
    <w:next w:val="afffb"/>
    <w:qFormat/>
    <w:rsid w:val="00F65813"/>
    <w:pPr>
      <w:widowControl w:val="0"/>
      <w:numPr>
        <w:numId w:val="4"/>
      </w:numPr>
      <w:spacing w:after="200" w:line="276" w:lineRule="auto"/>
      <w:jc w:val="both"/>
    </w:pPr>
    <w:rPr>
      <w:rFonts w:ascii="宋体" w:cs="宋体"/>
      <w:sz w:val="18"/>
      <w:szCs w:val="18"/>
    </w:rPr>
  </w:style>
  <w:style w:type="paragraph" w:customStyle="1" w:styleId="afffb">
    <w:name w:val="示例内容"/>
    <w:qFormat/>
    <w:rsid w:val="00F65813"/>
    <w:pPr>
      <w:spacing w:after="200" w:line="276" w:lineRule="auto"/>
      <w:ind w:firstLineChars="200" w:firstLine="200"/>
    </w:pPr>
    <w:rPr>
      <w:rFonts w:ascii="宋体" w:cs="宋体"/>
      <w:sz w:val="18"/>
      <w:szCs w:val="18"/>
    </w:rPr>
  </w:style>
  <w:style w:type="paragraph" w:customStyle="1" w:styleId="af0">
    <w:name w:val="数字编号列项（二级）"/>
    <w:qFormat/>
    <w:rsid w:val="00F65813"/>
    <w:pPr>
      <w:numPr>
        <w:ilvl w:val="1"/>
        <w:numId w:val="5"/>
      </w:numPr>
      <w:spacing w:after="200" w:line="276" w:lineRule="auto"/>
      <w:jc w:val="both"/>
    </w:pPr>
    <w:rPr>
      <w:rFonts w:ascii="宋体" w:cs="宋体"/>
      <w:sz w:val="21"/>
      <w:szCs w:val="21"/>
    </w:rPr>
  </w:style>
  <w:style w:type="paragraph" w:customStyle="1" w:styleId="a6">
    <w:name w:val="四级条标题"/>
    <w:basedOn w:val="afffa"/>
    <w:next w:val="affe"/>
    <w:qFormat/>
    <w:rsid w:val="00F65813"/>
    <w:pPr>
      <w:numPr>
        <w:ilvl w:val="4"/>
        <w:numId w:val="2"/>
      </w:numPr>
      <w:outlineLvl w:val="5"/>
    </w:pPr>
  </w:style>
  <w:style w:type="paragraph" w:customStyle="1" w:styleId="a7">
    <w:name w:val="五级条标题"/>
    <w:basedOn w:val="a6"/>
    <w:next w:val="affe"/>
    <w:qFormat/>
    <w:rsid w:val="00F65813"/>
    <w:pPr>
      <w:numPr>
        <w:ilvl w:val="5"/>
      </w:numPr>
      <w:outlineLvl w:val="6"/>
    </w:pPr>
  </w:style>
  <w:style w:type="paragraph" w:customStyle="1" w:styleId="afe">
    <w:name w:val="注："/>
    <w:next w:val="affe"/>
    <w:qFormat/>
    <w:rsid w:val="00F65813"/>
    <w:pPr>
      <w:widowControl w:val="0"/>
      <w:numPr>
        <w:numId w:val="6"/>
      </w:numPr>
      <w:autoSpaceDE w:val="0"/>
      <w:autoSpaceDN w:val="0"/>
      <w:spacing w:after="200" w:line="276" w:lineRule="auto"/>
      <w:jc w:val="both"/>
    </w:pPr>
    <w:rPr>
      <w:rFonts w:ascii="宋体" w:cs="宋体"/>
      <w:sz w:val="18"/>
      <w:szCs w:val="18"/>
    </w:rPr>
  </w:style>
  <w:style w:type="paragraph" w:customStyle="1" w:styleId="a">
    <w:name w:val="注×："/>
    <w:qFormat/>
    <w:rsid w:val="00F65813"/>
    <w:pPr>
      <w:widowControl w:val="0"/>
      <w:numPr>
        <w:numId w:val="7"/>
      </w:numPr>
      <w:autoSpaceDE w:val="0"/>
      <w:autoSpaceDN w:val="0"/>
      <w:spacing w:after="200" w:line="276" w:lineRule="auto"/>
      <w:jc w:val="both"/>
    </w:pPr>
    <w:rPr>
      <w:rFonts w:ascii="宋体" w:cs="宋体"/>
      <w:sz w:val="18"/>
      <w:szCs w:val="18"/>
    </w:rPr>
  </w:style>
  <w:style w:type="paragraph" w:customStyle="1" w:styleId="af">
    <w:name w:val="字母编号列项（一级）"/>
    <w:qFormat/>
    <w:rsid w:val="00F65813"/>
    <w:pPr>
      <w:numPr>
        <w:numId w:val="5"/>
      </w:numPr>
      <w:spacing w:after="200" w:line="276" w:lineRule="auto"/>
      <w:jc w:val="both"/>
    </w:pPr>
    <w:rPr>
      <w:rFonts w:ascii="宋体" w:cs="宋体"/>
      <w:sz w:val="21"/>
      <w:szCs w:val="21"/>
    </w:rPr>
  </w:style>
  <w:style w:type="paragraph" w:customStyle="1" w:styleId="ad">
    <w:name w:val="列项◆（三级）"/>
    <w:basedOn w:val="aff"/>
    <w:qFormat/>
    <w:rsid w:val="00F65813"/>
    <w:pPr>
      <w:numPr>
        <w:ilvl w:val="2"/>
        <w:numId w:val="3"/>
      </w:numPr>
    </w:pPr>
    <w:rPr>
      <w:rFonts w:ascii="宋体" w:cs="宋体"/>
    </w:rPr>
  </w:style>
  <w:style w:type="paragraph" w:customStyle="1" w:styleId="afffc">
    <w:name w:val="编号列项（三级）"/>
    <w:qFormat/>
    <w:rsid w:val="00F65813"/>
    <w:pPr>
      <w:spacing w:after="200" w:line="276" w:lineRule="auto"/>
    </w:pPr>
    <w:rPr>
      <w:rFonts w:ascii="宋体" w:cs="宋体"/>
      <w:sz w:val="21"/>
      <w:szCs w:val="21"/>
    </w:rPr>
  </w:style>
  <w:style w:type="paragraph" w:customStyle="1" w:styleId="af1">
    <w:name w:val="示例×："/>
    <w:basedOn w:val="a3"/>
    <w:qFormat/>
    <w:rsid w:val="00F65813"/>
    <w:pPr>
      <w:numPr>
        <w:numId w:val="8"/>
      </w:numPr>
      <w:spacing w:beforeLines="0" w:afterLines="0"/>
      <w:outlineLvl w:val="9"/>
    </w:pPr>
    <w:rPr>
      <w:rFonts w:ascii="宋体" w:eastAsia="宋体" w:cs="宋体"/>
      <w:sz w:val="18"/>
      <w:szCs w:val="18"/>
    </w:rPr>
  </w:style>
  <w:style w:type="paragraph" w:customStyle="1" w:styleId="afffd">
    <w:name w:val="二级无"/>
    <w:basedOn w:val="a5"/>
    <w:qFormat/>
    <w:rsid w:val="00F65813"/>
    <w:pPr>
      <w:spacing w:beforeLines="0" w:afterLines="0"/>
    </w:pPr>
    <w:rPr>
      <w:rFonts w:ascii="宋体" w:eastAsia="宋体" w:cs="宋体"/>
    </w:rPr>
  </w:style>
  <w:style w:type="paragraph" w:customStyle="1" w:styleId="a8">
    <w:name w:val="注：（正文）"/>
    <w:basedOn w:val="afe"/>
    <w:next w:val="affe"/>
    <w:qFormat/>
    <w:rsid w:val="00F65813"/>
    <w:pPr>
      <w:numPr>
        <w:numId w:val="9"/>
      </w:numPr>
    </w:pPr>
  </w:style>
  <w:style w:type="paragraph" w:customStyle="1" w:styleId="a2">
    <w:name w:val="注×：（正文）"/>
    <w:qFormat/>
    <w:rsid w:val="00F65813"/>
    <w:pPr>
      <w:numPr>
        <w:numId w:val="10"/>
      </w:numPr>
      <w:spacing w:after="200" w:line="276" w:lineRule="auto"/>
      <w:jc w:val="both"/>
    </w:pPr>
    <w:rPr>
      <w:rFonts w:ascii="宋体" w:cs="宋体"/>
      <w:sz w:val="18"/>
      <w:szCs w:val="18"/>
    </w:rPr>
  </w:style>
  <w:style w:type="paragraph" w:customStyle="1" w:styleId="afffe">
    <w:name w:val="标准标志"/>
    <w:next w:val="aff"/>
    <w:qFormat/>
    <w:rsid w:val="00F65813"/>
    <w:pPr>
      <w:framePr w:w="2546" w:h="1389" w:hRule="exact" w:hSpace="181" w:vSpace="181" w:wrap="around" w:hAnchor="margin" w:x="6522" w:y="398" w:anchorLock="1"/>
      <w:shd w:val="solid" w:color="FFFFFF" w:fill="FFFFFF"/>
      <w:spacing w:after="200" w:line="240" w:lineRule="atLeast"/>
      <w:jc w:val="right"/>
    </w:pPr>
    <w:rPr>
      <w:b/>
      <w:bCs/>
      <w:w w:val="170"/>
      <w:sz w:val="96"/>
      <w:szCs w:val="96"/>
    </w:rPr>
  </w:style>
  <w:style w:type="paragraph" w:customStyle="1" w:styleId="affff">
    <w:name w:val="标准称谓"/>
    <w:next w:val="aff"/>
    <w:qFormat/>
    <w:rsid w:val="00F65813"/>
    <w:pPr>
      <w:framePr w:w="9639" w:h="624" w:hRule="exact" w:hSpace="181" w:vSpace="181" w:wrap="around" w:vAnchor="page" w:hAnchor="page" w:x="1419" w:y="2286" w:anchorLock="1"/>
      <w:widowControl w:val="0"/>
      <w:kinsoku w:val="0"/>
      <w:overflowPunct w:val="0"/>
      <w:autoSpaceDE w:val="0"/>
      <w:autoSpaceDN w:val="0"/>
      <w:spacing w:after="200" w:line="240" w:lineRule="atLeast"/>
      <w:jc w:val="distribute"/>
    </w:pPr>
    <w:rPr>
      <w:rFonts w:ascii="宋体" w:cs="宋体"/>
      <w:b/>
      <w:bCs/>
      <w:spacing w:val="20"/>
      <w:w w:val="148"/>
      <w:sz w:val="48"/>
      <w:szCs w:val="48"/>
    </w:rPr>
  </w:style>
  <w:style w:type="paragraph" w:customStyle="1" w:styleId="affff0">
    <w:name w:val="标准书脚_偶数页"/>
    <w:qFormat/>
    <w:rsid w:val="00F65813"/>
    <w:pPr>
      <w:spacing w:before="120" w:after="200" w:line="276" w:lineRule="auto"/>
      <w:ind w:left="221"/>
    </w:pPr>
    <w:rPr>
      <w:rFonts w:ascii="宋体" w:cs="宋体"/>
      <w:sz w:val="18"/>
      <w:szCs w:val="18"/>
    </w:rPr>
  </w:style>
  <w:style w:type="paragraph" w:customStyle="1" w:styleId="affff1">
    <w:name w:val="标准书眉_偶数页"/>
    <w:basedOn w:val="afff8"/>
    <w:next w:val="aff"/>
    <w:qFormat/>
    <w:rsid w:val="00F65813"/>
    <w:pPr>
      <w:jc w:val="left"/>
    </w:pPr>
  </w:style>
  <w:style w:type="paragraph" w:customStyle="1" w:styleId="affff2">
    <w:name w:val="标准书眉一"/>
    <w:qFormat/>
    <w:rsid w:val="00F65813"/>
    <w:pPr>
      <w:spacing w:after="200" w:line="276" w:lineRule="auto"/>
      <w:jc w:val="both"/>
    </w:pPr>
  </w:style>
  <w:style w:type="paragraph" w:customStyle="1" w:styleId="affff3">
    <w:name w:val="参考文献"/>
    <w:basedOn w:val="aff"/>
    <w:next w:val="affe"/>
    <w:qFormat/>
    <w:rsid w:val="00F65813"/>
    <w:pPr>
      <w:keepNext/>
      <w:pageBreakBefore/>
      <w:widowControl/>
      <w:shd w:val="clear" w:color="FFFFFF" w:fill="FFFFFF"/>
      <w:spacing w:before="640"/>
      <w:jc w:val="center"/>
      <w:outlineLvl w:val="0"/>
    </w:pPr>
    <w:rPr>
      <w:rFonts w:ascii="黑体" w:eastAsia="黑体" w:cs="黑体"/>
      <w:kern w:val="0"/>
    </w:rPr>
  </w:style>
  <w:style w:type="paragraph" w:customStyle="1" w:styleId="affff4">
    <w:name w:val="参考文献、索引标题"/>
    <w:basedOn w:val="aff"/>
    <w:next w:val="affe"/>
    <w:qFormat/>
    <w:rsid w:val="00F65813"/>
    <w:pPr>
      <w:keepNext/>
      <w:pageBreakBefore/>
      <w:widowControl/>
      <w:shd w:val="clear" w:color="FFFFFF" w:fill="FFFFFF"/>
      <w:spacing w:before="640"/>
      <w:jc w:val="center"/>
      <w:outlineLvl w:val="0"/>
    </w:pPr>
    <w:rPr>
      <w:rFonts w:ascii="黑体" w:eastAsia="黑体" w:cs="黑体"/>
      <w:kern w:val="0"/>
    </w:rPr>
  </w:style>
  <w:style w:type="character" w:customStyle="1" w:styleId="affff5">
    <w:name w:val="发布"/>
    <w:qFormat/>
    <w:rsid w:val="00F65813"/>
    <w:rPr>
      <w:rFonts w:ascii="黑体" w:eastAsia="黑体" w:cs="黑体"/>
      <w:spacing w:val="85"/>
      <w:w w:val="100"/>
      <w:position w:val="3"/>
      <w:sz w:val="28"/>
      <w:szCs w:val="28"/>
    </w:rPr>
  </w:style>
  <w:style w:type="paragraph" w:customStyle="1" w:styleId="affff6">
    <w:name w:val="发布部门"/>
    <w:next w:val="affe"/>
    <w:qFormat/>
    <w:rsid w:val="00F65813"/>
    <w:pPr>
      <w:framePr w:w="7938" w:h="1134" w:hRule="exact" w:hSpace="125" w:vSpace="181" w:wrap="around" w:vAnchor="page" w:hAnchor="page" w:x="2150" w:y="14630" w:anchorLock="1"/>
      <w:spacing w:after="200" w:line="276" w:lineRule="auto"/>
      <w:jc w:val="center"/>
    </w:pPr>
    <w:rPr>
      <w:rFonts w:ascii="宋体" w:cs="宋体"/>
      <w:b/>
      <w:bCs/>
      <w:spacing w:val="20"/>
      <w:w w:val="135"/>
      <w:sz w:val="28"/>
      <w:szCs w:val="28"/>
    </w:rPr>
  </w:style>
  <w:style w:type="paragraph" w:customStyle="1" w:styleId="affff7">
    <w:name w:val="发布日期"/>
    <w:qFormat/>
    <w:rsid w:val="00F65813"/>
    <w:pPr>
      <w:framePr w:w="3997" w:h="471" w:hRule="exact" w:vSpace="181" w:wrap="around" w:hAnchor="page" w:x="7089" w:y="14097" w:anchorLock="1"/>
      <w:spacing w:after="200" w:line="276" w:lineRule="auto"/>
    </w:pPr>
    <w:rPr>
      <w:rFonts w:eastAsia="黑体"/>
      <w:sz w:val="28"/>
      <w:szCs w:val="28"/>
    </w:rPr>
  </w:style>
  <w:style w:type="paragraph" w:customStyle="1" w:styleId="affff8">
    <w:name w:val="封面标准代替信息"/>
    <w:qFormat/>
    <w:rsid w:val="00F65813"/>
    <w:pPr>
      <w:framePr w:w="9140" w:h="1242" w:hRule="exact" w:hSpace="284" w:wrap="around" w:vAnchor="page" w:hAnchor="page" w:x="1645" w:y="2910" w:anchorLock="1"/>
      <w:spacing w:before="57" w:after="200" w:line="280" w:lineRule="exact"/>
      <w:jc w:val="right"/>
    </w:pPr>
    <w:rPr>
      <w:rFonts w:ascii="宋体" w:cs="宋体"/>
      <w:sz w:val="21"/>
      <w:szCs w:val="21"/>
    </w:rPr>
  </w:style>
  <w:style w:type="paragraph" w:customStyle="1" w:styleId="12">
    <w:name w:val="封面标准号1"/>
    <w:qFormat/>
    <w:rsid w:val="00F65813"/>
    <w:pPr>
      <w:widowControl w:val="0"/>
      <w:kinsoku w:val="0"/>
      <w:overflowPunct w:val="0"/>
      <w:autoSpaceDE w:val="0"/>
      <w:autoSpaceDN w:val="0"/>
      <w:spacing w:before="308" w:after="200" w:line="276" w:lineRule="auto"/>
      <w:jc w:val="right"/>
      <w:textAlignment w:val="center"/>
    </w:pPr>
    <w:rPr>
      <w:sz w:val="28"/>
      <w:szCs w:val="28"/>
    </w:rPr>
  </w:style>
  <w:style w:type="paragraph" w:customStyle="1" w:styleId="affff9">
    <w:name w:val="封面标准名称"/>
    <w:qFormat/>
    <w:rsid w:val="00F65813"/>
    <w:pPr>
      <w:framePr w:w="9639" w:h="6917" w:hRule="exact" w:wrap="around" w:vAnchor="page" w:hAnchor="page" w:xAlign="center" w:y="6408" w:anchorLock="1"/>
      <w:widowControl w:val="0"/>
      <w:spacing w:after="200" w:line="680" w:lineRule="exact"/>
      <w:jc w:val="center"/>
      <w:textAlignment w:val="center"/>
    </w:pPr>
    <w:rPr>
      <w:rFonts w:ascii="黑体" w:eastAsia="黑体" w:cs="黑体"/>
      <w:sz w:val="52"/>
      <w:szCs w:val="52"/>
    </w:rPr>
  </w:style>
  <w:style w:type="paragraph" w:customStyle="1" w:styleId="affffa">
    <w:name w:val="封面标准英文名称"/>
    <w:basedOn w:val="affff9"/>
    <w:qFormat/>
    <w:rsid w:val="00F65813"/>
    <w:pPr>
      <w:framePr w:wrap="around"/>
      <w:spacing w:before="370" w:line="400" w:lineRule="exact"/>
    </w:pPr>
    <w:rPr>
      <w:rFonts w:ascii="Times New Roman" w:cs="Times New Roman"/>
      <w:sz w:val="28"/>
      <w:szCs w:val="28"/>
    </w:rPr>
  </w:style>
  <w:style w:type="paragraph" w:customStyle="1" w:styleId="affffb">
    <w:name w:val="封面一致性程度标识"/>
    <w:basedOn w:val="affffa"/>
    <w:qFormat/>
    <w:rsid w:val="00F65813"/>
    <w:pPr>
      <w:framePr w:wrap="around"/>
      <w:spacing w:before="440"/>
    </w:pPr>
    <w:rPr>
      <w:rFonts w:ascii="宋体" w:eastAsia="宋体" w:cs="宋体"/>
    </w:rPr>
  </w:style>
  <w:style w:type="paragraph" w:customStyle="1" w:styleId="affffc">
    <w:name w:val="封面标准文稿类别"/>
    <w:basedOn w:val="affffb"/>
    <w:qFormat/>
    <w:rsid w:val="00F65813"/>
    <w:pPr>
      <w:framePr w:wrap="around"/>
      <w:spacing w:after="160" w:line="240" w:lineRule="auto"/>
    </w:pPr>
    <w:rPr>
      <w:sz w:val="24"/>
      <w:szCs w:val="24"/>
    </w:rPr>
  </w:style>
  <w:style w:type="paragraph" w:customStyle="1" w:styleId="affffd">
    <w:name w:val="封面标准文稿编辑信息"/>
    <w:basedOn w:val="affffc"/>
    <w:qFormat/>
    <w:rsid w:val="00F65813"/>
    <w:pPr>
      <w:framePr w:wrap="around"/>
      <w:spacing w:before="180" w:line="180" w:lineRule="exact"/>
    </w:pPr>
    <w:rPr>
      <w:sz w:val="21"/>
      <w:szCs w:val="21"/>
    </w:rPr>
  </w:style>
  <w:style w:type="paragraph" w:customStyle="1" w:styleId="affffe">
    <w:name w:val="封面正文"/>
    <w:qFormat/>
    <w:rsid w:val="00F65813"/>
    <w:pPr>
      <w:spacing w:after="200" w:line="276" w:lineRule="auto"/>
      <w:jc w:val="both"/>
    </w:pPr>
  </w:style>
  <w:style w:type="paragraph" w:customStyle="1" w:styleId="af5">
    <w:name w:val="附录标识"/>
    <w:basedOn w:val="aff"/>
    <w:next w:val="affe"/>
    <w:qFormat/>
    <w:rsid w:val="00F65813"/>
    <w:pPr>
      <w:keepNext/>
      <w:widowControl/>
      <w:numPr>
        <w:numId w:val="11"/>
      </w:numPr>
      <w:shd w:val="clear" w:color="FFFFFF" w:fill="FFFFFF"/>
      <w:tabs>
        <w:tab w:val="left" w:pos="360"/>
        <w:tab w:val="left" w:pos="6405"/>
      </w:tabs>
      <w:spacing w:before="640" w:after="280"/>
      <w:jc w:val="center"/>
      <w:outlineLvl w:val="0"/>
    </w:pPr>
    <w:rPr>
      <w:rFonts w:ascii="黑体" w:eastAsia="黑体" w:cs="黑体"/>
      <w:kern w:val="0"/>
    </w:rPr>
  </w:style>
  <w:style w:type="paragraph" w:customStyle="1" w:styleId="afffff">
    <w:name w:val="附录标题"/>
    <w:basedOn w:val="affe"/>
    <w:next w:val="affe"/>
    <w:qFormat/>
    <w:rsid w:val="00F65813"/>
    <w:pPr>
      <w:ind w:firstLineChars="0" w:firstLine="0"/>
      <w:jc w:val="center"/>
    </w:pPr>
    <w:rPr>
      <w:rFonts w:ascii="黑体" w:eastAsia="黑体" w:cs="黑体"/>
    </w:rPr>
  </w:style>
  <w:style w:type="paragraph" w:customStyle="1" w:styleId="af2">
    <w:name w:val="附录表标号"/>
    <w:basedOn w:val="aff"/>
    <w:next w:val="affe"/>
    <w:qFormat/>
    <w:rsid w:val="00F65813"/>
    <w:pPr>
      <w:numPr>
        <w:numId w:val="12"/>
      </w:numPr>
      <w:tabs>
        <w:tab w:val="clear" w:pos="0"/>
      </w:tabs>
      <w:spacing w:line="14" w:lineRule="exact"/>
      <w:ind w:left="811" w:hanging="448"/>
      <w:jc w:val="center"/>
      <w:outlineLvl w:val="0"/>
    </w:pPr>
    <w:rPr>
      <w:color w:val="FFFFFF"/>
    </w:rPr>
  </w:style>
  <w:style w:type="paragraph" w:customStyle="1" w:styleId="af3">
    <w:name w:val="附录表标题"/>
    <w:basedOn w:val="aff"/>
    <w:next w:val="affe"/>
    <w:qFormat/>
    <w:rsid w:val="00F65813"/>
    <w:pPr>
      <w:numPr>
        <w:ilvl w:val="1"/>
        <w:numId w:val="12"/>
      </w:numPr>
      <w:tabs>
        <w:tab w:val="left" w:pos="180"/>
      </w:tabs>
      <w:spacing w:beforeLines="50" w:afterLines="50"/>
      <w:ind w:left="0" w:firstLine="0"/>
      <w:jc w:val="center"/>
    </w:pPr>
    <w:rPr>
      <w:rFonts w:ascii="黑体" w:eastAsia="黑体" w:cs="黑体"/>
    </w:rPr>
  </w:style>
  <w:style w:type="paragraph" w:customStyle="1" w:styleId="af8">
    <w:name w:val="附录二级条标题"/>
    <w:basedOn w:val="aff"/>
    <w:next w:val="affe"/>
    <w:qFormat/>
    <w:rsid w:val="00F65813"/>
    <w:pPr>
      <w:widowControl/>
      <w:numPr>
        <w:ilvl w:val="3"/>
        <w:numId w:val="11"/>
      </w:numPr>
      <w:wordWrap w:val="0"/>
      <w:overflowPunct w:val="0"/>
      <w:autoSpaceDE w:val="0"/>
      <w:autoSpaceDN w:val="0"/>
      <w:spacing w:beforeLines="50" w:afterLines="50"/>
      <w:textAlignment w:val="baseline"/>
      <w:outlineLvl w:val="3"/>
    </w:pPr>
    <w:rPr>
      <w:rFonts w:ascii="黑体" w:eastAsia="黑体" w:cs="黑体"/>
      <w:kern w:val="21"/>
    </w:rPr>
  </w:style>
  <w:style w:type="paragraph" w:customStyle="1" w:styleId="afffff0">
    <w:name w:val="附录二级无"/>
    <w:basedOn w:val="af8"/>
    <w:qFormat/>
    <w:rsid w:val="00F65813"/>
    <w:pPr>
      <w:spacing w:beforeLines="0" w:afterLines="0"/>
    </w:pPr>
    <w:rPr>
      <w:rFonts w:ascii="宋体" w:eastAsia="宋体" w:cs="宋体"/>
    </w:rPr>
  </w:style>
  <w:style w:type="paragraph" w:customStyle="1" w:styleId="afffff1">
    <w:name w:val="附录公式"/>
    <w:basedOn w:val="affe"/>
    <w:next w:val="affe"/>
    <w:qFormat/>
    <w:rsid w:val="00F65813"/>
  </w:style>
  <w:style w:type="character" w:customStyle="1" w:styleId="Charb">
    <w:name w:val="附录公式 Char"/>
    <w:basedOn w:val="Chara"/>
    <w:qFormat/>
    <w:rsid w:val="00F65813"/>
    <w:rPr>
      <w:rFonts w:ascii="宋体" w:cs="宋体"/>
      <w:sz w:val="21"/>
      <w:szCs w:val="21"/>
      <w:lang w:val="en-US" w:eastAsia="zh-CN"/>
    </w:rPr>
  </w:style>
  <w:style w:type="paragraph" w:customStyle="1" w:styleId="afffff2">
    <w:name w:val="附录公式编号制表符"/>
    <w:basedOn w:val="aff"/>
    <w:next w:val="affe"/>
    <w:qFormat/>
    <w:rsid w:val="00F65813"/>
    <w:pPr>
      <w:widowControl/>
      <w:tabs>
        <w:tab w:val="center" w:pos="4201"/>
        <w:tab w:val="right" w:leader="dot" w:pos="9298"/>
      </w:tabs>
      <w:autoSpaceDE w:val="0"/>
      <w:autoSpaceDN w:val="0"/>
    </w:pPr>
    <w:rPr>
      <w:rFonts w:ascii="宋体" w:cs="宋体"/>
      <w:kern w:val="0"/>
    </w:rPr>
  </w:style>
  <w:style w:type="paragraph" w:customStyle="1" w:styleId="af9">
    <w:name w:val="附录三级条标题"/>
    <w:basedOn w:val="af8"/>
    <w:next w:val="affe"/>
    <w:qFormat/>
    <w:rsid w:val="00F65813"/>
    <w:pPr>
      <w:numPr>
        <w:ilvl w:val="4"/>
      </w:numPr>
      <w:tabs>
        <w:tab w:val="left" w:pos="360"/>
      </w:tabs>
      <w:outlineLvl w:val="4"/>
    </w:pPr>
  </w:style>
  <w:style w:type="paragraph" w:customStyle="1" w:styleId="afffff3">
    <w:name w:val="附录三级无"/>
    <w:basedOn w:val="af9"/>
    <w:qFormat/>
    <w:rsid w:val="00F65813"/>
    <w:pPr>
      <w:tabs>
        <w:tab w:val="clear" w:pos="360"/>
      </w:tabs>
      <w:spacing w:beforeLines="0" w:afterLines="0"/>
    </w:pPr>
    <w:rPr>
      <w:rFonts w:ascii="宋体" w:eastAsia="宋体" w:cs="宋体"/>
    </w:rPr>
  </w:style>
  <w:style w:type="paragraph" w:customStyle="1" w:styleId="afd">
    <w:name w:val="附录数字编号列项（二级）"/>
    <w:qFormat/>
    <w:rsid w:val="00F65813"/>
    <w:pPr>
      <w:numPr>
        <w:ilvl w:val="1"/>
        <w:numId w:val="13"/>
      </w:numPr>
      <w:spacing w:after="200" w:line="276" w:lineRule="auto"/>
    </w:pPr>
    <w:rPr>
      <w:rFonts w:ascii="宋体" w:cs="宋体"/>
      <w:sz w:val="21"/>
      <w:szCs w:val="21"/>
    </w:rPr>
  </w:style>
  <w:style w:type="paragraph" w:customStyle="1" w:styleId="afa">
    <w:name w:val="附录四级条标题"/>
    <w:basedOn w:val="af9"/>
    <w:next w:val="affe"/>
    <w:qFormat/>
    <w:rsid w:val="00F65813"/>
    <w:pPr>
      <w:numPr>
        <w:ilvl w:val="5"/>
      </w:numPr>
      <w:outlineLvl w:val="5"/>
    </w:pPr>
  </w:style>
  <w:style w:type="paragraph" w:customStyle="1" w:styleId="afffff4">
    <w:name w:val="附录四级无"/>
    <w:basedOn w:val="afa"/>
    <w:qFormat/>
    <w:rsid w:val="00F65813"/>
    <w:pPr>
      <w:tabs>
        <w:tab w:val="clear" w:pos="360"/>
      </w:tabs>
      <w:spacing w:beforeLines="0" w:afterLines="0"/>
    </w:pPr>
    <w:rPr>
      <w:rFonts w:ascii="宋体" w:eastAsia="宋体" w:cs="宋体"/>
    </w:rPr>
  </w:style>
  <w:style w:type="paragraph" w:customStyle="1" w:styleId="a9">
    <w:name w:val="附录图标号"/>
    <w:basedOn w:val="aff"/>
    <w:qFormat/>
    <w:rsid w:val="00F65813"/>
    <w:pPr>
      <w:keepNext/>
      <w:pageBreakBefore/>
      <w:widowControl/>
      <w:numPr>
        <w:numId w:val="14"/>
      </w:numPr>
      <w:spacing w:line="14" w:lineRule="exact"/>
      <w:ind w:left="0" w:firstLine="363"/>
      <w:jc w:val="center"/>
      <w:outlineLvl w:val="0"/>
    </w:pPr>
    <w:rPr>
      <w:color w:val="FFFFFF"/>
    </w:rPr>
  </w:style>
  <w:style w:type="paragraph" w:customStyle="1" w:styleId="aa">
    <w:name w:val="附录图标题"/>
    <w:basedOn w:val="aff"/>
    <w:next w:val="affe"/>
    <w:qFormat/>
    <w:rsid w:val="00F65813"/>
    <w:pPr>
      <w:numPr>
        <w:ilvl w:val="1"/>
        <w:numId w:val="14"/>
      </w:numPr>
      <w:tabs>
        <w:tab w:val="left" w:pos="363"/>
      </w:tabs>
      <w:spacing w:beforeLines="50" w:afterLines="50"/>
      <w:ind w:left="0" w:firstLine="0"/>
      <w:jc w:val="center"/>
    </w:pPr>
    <w:rPr>
      <w:rFonts w:ascii="黑体" w:eastAsia="黑体" w:cs="黑体"/>
    </w:rPr>
  </w:style>
  <w:style w:type="paragraph" w:customStyle="1" w:styleId="afb">
    <w:name w:val="附录五级条标题"/>
    <w:basedOn w:val="afa"/>
    <w:next w:val="affe"/>
    <w:qFormat/>
    <w:rsid w:val="00F65813"/>
    <w:pPr>
      <w:numPr>
        <w:ilvl w:val="6"/>
      </w:numPr>
      <w:outlineLvl w:val="6"/>
    </w:pPr>
  </w:style>
  <w:style w:type="paragraph" w:customStyle="1" w:styleId="afffff5">
    <w:name w:val="附录五级无"/>
    <w:basedOn w:val="afb"/>
    <w:qFormat/>
    <w:rsid w:val="00F65813"/>
    <w:pPr>
      <w:tabs>
        <w:tab w:val="clear" w:pos="360"/>
      </w:tabs>
      <w:spacing w:beforeLines="0" w:afterLines="0"/>
    </w:pPr>
    <w:rPr>
      <w:rFonts w:ascii="宋体" w:eastAsia="宋体" w:cs="宋体"/>
    </w:rPr>
  </w:style>
  <w:style w:type="paragraph" w:customStyle="1" w:styleId="af6">
    <w:name w:val="附录章标题"/>
    <w:next w:val="affe"/>
    <w:rsid w:val="00F65813"/>
    <w:pPr>
      <w:numPr>
        <w:ilvl w:val="1"/>
        <w:numId w:val="11"/>
      </w:numPr>
      <w:tabs>
        <w:tab w:val="left" w:pos="360"/>
      </w:tabs>
      <w:wordWrap w:val="0"/>
      <w:overflowPunct w:val="0"/>
      <w:autoSpaceDE w:val="0"/>
      <w:spacing w:beforeLines="100" w:afterLines="100" w:line="276" w:lineRule="auto"/>
      <w:jc w:val="both"/>
      <w:textAlignment w:val="baseline"/>
      <w:outlineLvl w:val="1"/>
    </w:pPr>
    <w:rPr>
      <w:rFonts w:ascii="黑体" w:eastAsia="黑体" w:cs="黑体"/>
      <w:kern w:val="21"/>
      <w:sz w:val="21"/>
      <w:szCs w:val="21"/>
    </w:rPr>
  </w:style>
  <w:style w:type="paragraph" w:customStyle="1" w:styleId="af7">
    <w:name w:val="附录一级条标题"/>
    <w:basedOn w:val="af6"/>
    <w:next w:val="affe"/>
    <w:qFormat/>
    <w:rsid w:val="00F65813"/>
    <w:pPr>
      <w:numPr>
        <w:ilvl w:val="2"/>
      </w:numPr>
      <w:autoSpaceDN w:val="0"/>
      <w:spacing w:beforeLines="50" w:afterLines="50"/>
      <w:outlineLvl w:val="2"/>
    </w:pPr>
  </w:style>
  <w:style w:type="paragraph" w:customStyle="1" w:styleId="afffff6">
    <w:name w:val="附录一级无"/>
    <w:basedOn w:val="af7"/>
    <w:qFormat/>
    <w:rsid w:val="00F65813"/>
    <w:pPr>
      <w:spacing w:beforeLines="0" w:afterLines="0"/>
    </w:pPr>
    <w:rPr>
      <w:rFonts w:ascii="宋体" w:eastAsia="宋体" w:cs="宋体"/>
    </w:rPr>
  </w:style>
  <w:style w:type="paragraph" w:customStyle="1" w:styleId="afc">
    <w:name w:val="附录字母编号列项（一级）"/>
    <w:qFormat/>
    <w:rsid w:val="00F65813"/>
    <w:pPr>
      <w:numPr>
        <w:numId w:val="13"/>
      </w:numPr>
      <w:spacing w:after="200" w:line="276" w:lineRule="auto"/>
    </w:pPr>
    <w:rPr>
      <w:rFonts w:ascii="宋体" w:cs="宋体"/>
      <w:sz w:val="21"/>
      <w:szCs w:val="21"/>
    </w:rPr>
  </w:style>
  <w:style w:type="paragraph" w:customStyle="1" w:styleId="afffff7">
    <w:name w:val="列项说明"/>
    <w:basedOn w:val="aff"/>
    <w:qFormat/>
    <w:rsid w:val="00F65813"/>
    <w:pPr>
      <w:adjustRightInd w:val="0"/>
      <w:spacing w:line="320" w:lineRule="exact"/>
      <w:ind w:leftChars="200" w:left="200" w:hangingChars="200" w:hanging="200"/>
      <w:jc w:val="left"/>
      <w:textAlignment w:val="baseline"/>
    </w:pPr>
    <w:rPr>
      <w:rFonts w:ascii="宋体" w:cs="宋体"/>
      <w:kern w:val="0"/>
    </w:rPr>
  </w:style>
  <w:style w:type="paragraph" w:customStyle="1" w:styleId="afffff8">
    <w:name w:val="列项说明数字编号"/>
    <w:qFormat/>
    <w:rsid w:val="00F65813"/>
    <w:pPr>
      <w:spacing w:after="200" w:line="276" w:lineRule="auto"/>
      <w:ind w:leftChars="400" w:left="400" w:hangingChars="200" w:hanging="200"/>
    </w:pPr>
    <w:rPr>
      <w:rFonts w:ascii="宋体" w:cs="宋体"/>
      <w:sz w:val="21"/>
      <w:szCs w:val="21"/>
    </w:rPr>
  </w:style>
  <w:style w:type="paragraph" w:customStyle="1" w:styleId="afffff9">
    <w:name w:val="目次、索引正文"/>
    <w:qFormat/>
    <w:rsid w:val="00F65813"/>
    <w:pPr>
      <w:spacing w:after="200" w:line="320" w:lineRule="exact"/>
      <w:jc w:val="both"/>
    </w:pPr>
    <w:rPr>
      <w:rFonts w:ascii="宋体" w:cs="宋体"/>
      <w:sz w:val="21"/>
      <w:szCs w:val="21"/>
    </w:rPr>
  </w:style>
  <w:style w:type="paragraph" w:customStyle="1" w:styleId="afffffa">
    <w:name w:val="其他标准标志"/>
    <w:basedOn w:val="afffe"/>
    <w:qFormat/>
    <w:rsid w:val="00F65813"/>
    <w:pPr>
      <w:framePr w:w="6101" w:wrap="around" w:vAnchor="page" w:hAnchor="page" w:x="4673" w:y="942"/>
    </w:pPr>
    <w:rPr>
      <w:w w:val="130"/>
    </w:rPr>
  </w:style>
  <w:style w:type="paragraph" w:customStyle="1" w:styleId="afffffb">
    <w:name w:val="其他标准称谓"/>
    <w:next w:val="aff"/>
    <w:qFormat/>
    <w:rsid w:val="00F65813"/>
    <w:pPr>
      <w:framePr w:hSpace="181" w:vSpace="181" w:wrap="around" w:vAnchor="page" w:hAnchor="page" w:x="1419" w:y="2286" w:anchorLock="1"/>
      <w:spacing w:after="200" w:line="240" w:lineRule="atLeast"/>
      <w:jc w:val="distribute"/>
    </w:pPr>
    <w:rPr>
      <w:rFonts w:ascii="黑体" w:eastAsia="黑体" w:hAnsi="宋体" w:cs="黑体"/>
      <w:spacing w:val="-40"/>
      <w:sz w:val="48"/>
      <w:szCs w:val="48"/>
    </w:rPr>
  </w:style>
  <w:style w:type="paragraph" w:customStyle="1" w:styleId="afffffc">
    <w:name w:val="其他发布部门"/>
    <w:basedOn w:val="affff6"/>
    <w:qFormat/>
    <w:rsid w:val="00F65813"/>
    <w:pPr>
      <w:framePr w:wrap="around" w:y="15310"/>
      <w:spacing w:line="240" w:lineRule="atLeast"/>
    </w:pPr>
    <w:rPr>
      <w:rFonts w:ascii="黑体" w:eastAsia="黑体" w:cs="黑体"/>
      <w:b w:val="0"/>
      <w:bCs w:val="0"/>
    </w:rPr>
  </w:style>
  <w:style w:type="paragraph" w:customStyle="1" w:styleId="afffffd">
    <w:name w:val="前言、引言标题"/>
    <w:next w:val="affe"/>
    <w:qFormat/>
    <w:rsid w:val="00F65813"/>
    <w:pPr>
      <w:keepNext/>
      <w:pageBreakBefore/>
      <w:shd w:val="clear" w:color="FFFFFF" w:fill="FFFFFF"/>
      <w:spacing w:before="640" w:after="560" w:line="276" w:lineRule="auto"/>
      <w:jc w:val="center"/>
      <w:outlineLvl w:val="0"/>
    </w:pPr>
    <w:rPr>
      <w:rFonts w:ascii="黑体" w:eastAsia="黑体" w:cs="黑体"/>
      <w:sz w:val="32"/>
      <w:szCs w:val="32"/>
    </w:rPr>
  </w:style>
  <w:style w:type="paragraph" w:customStyle="1" w:styleId="afffffe">
    <w:name w:val="三级无"/>
    <w:basedOn w:val="afffa"/>
    <w:qFormat/>
    <w:rsid w:val="00F65813"/>
    <w:pPr>
      <w:spacing w:beforeLines="0" w:afterLines="0"/>
    </w:pPr>
    <w:rPr>
      <w:rFonts w:ascii="宋体" w:eastAsia="宋体" w:cs="宋体"/>
    </w:rPr>
  </w:style>
  <w:style w:type="paragraph" w:customStyle="1" w:styleId="affffff">
    <w:name w:val="实施日期"/>
    <w:basedOn w:val="affff7"/>
    <w:qFormat/>
    <w:rsid w:val="00F65813"/>
    <w:pPr>
      <w:framePr w:wrap="around" w:vAnchor="page" w:hAnchor="text"/>
      <w:jc w:val="right"/>
    </w:pPr>
  </w:style>
  <w:style w:type="paragraph" w:customStyle="1" w:styleId="affffff0">
    <w:name w:val="示例后文字"/>
    <w:basedOn w:val="affe"/>
    <w:next w:val="affe"/>
    <w:qFormat/>
    <w:rsid w:val="00F65813"/>
    <w:pPr>
      <w:ind w:firstLine="360"/>
    </w:pPr>
    <w:rPr>
      <w:sz w:val="18"/>
      <w:szCs w:val="18"/>
    </w:rPr>
  </w:style>
  <w:style w:type="paragraph" w:customStyle="1" w:styleId="affffff1">
    <w:name w:val="首示例"/>
    <w:next w:val="affe"/>
    <w:qFormat/>
    <w:rsid w:val="00F65813"/>
    <w:pPr>
      <w:tabs>
        <w:tab w:val="left" w:pos="360"/>
      </w:tabs>
      <w:spacing w:after="200" w:line="276" w:lineRule="auto"/>
    </w:pPr>
    <w:rPr>
      <w:rFonts w:ascii="宋体" w:hAnsi="宋体" w:cs="宋体"/>
      <w:kern w:val="2"/>
      <w:sz w:val="18"/>
      <w:szCs w:val="18"/>
    </w:rPr>
  </w:style>
  <w:style w:type="character" w:customStyle="1" w:styleId="Charc">
    <w:name w:val="首示例 Char"/>
    <w:qFormat/>
    <w:rsid w:val="00F65813"/>
    <w:rPr>
      <w:rFonts w:ascii="宋体" w:eastAsia="宋体" w:hAnsi="宋体" w:cs="宋体"/>
      <w:kern w:val="2"/>
      <w:sz w:val="18"/>
      <w:szCs w:val="18"/>
      <w:lang w:val="en-US" w:eastAsia="zh-CN"/>
    </w:rPr>
  </w:style>
  <w:style w:type="paragraph" w:customStyle="1" w:styleId="affffff2">
    <w:name w:val="四级无"/>
    <w:basedOn w:val="a6"/>
    <w:qFormat/>
    <w:rsid w:val="00F65813"/>
    <w:pPr>
      <w:spacing w:beforeLines="0" w:afterLines="0"/>
    </w:pPr>
    <w:rPr>
      <w:rFonts w:ascii="宋体" w:eastAsia="宋体" w:cs="宋体"/>
    </w:rPr>
  </w:style>
  <w:style w:type="paragraph" w:customStyle="1" w:styleId="affffff3">
    <w:name w:val="条文脚注"/>
    <w:basedOn w:val="ae"/>
    <w:qFormat/>
    <w:rsid w:val="00F65813"/>
    <w:pPr>
      <w:numPr>
        <w:numId w:val="0"/>
      </w:numPr>
      <w:jc w:val="both"/>
    </w:pPr>
  </w:style>
  <w:style w:type="paragraph" w:customStyle="1" w:styleId="affffff4">
    <w:name w:val="图标脚注说明"/>
    <w:basedOn w:val="affe"/>
    <w:qFormat/>
    <w:rsid w:val="00F65813"/>
    <w:pPr>
      <w:ind w:left="840" w:firstLineChars="0" w:firstLine="0"/>
    </w:pPr>
    <w:rPr>
      <w:sz w:val="18"/>
      <w:szCs w:val="18"/>
    </w:rPr>
  </w:style>
  <w:style w:type="paragraph" w:customStyle="1" w:styleId="affffff5">
    <w:name w:val="图表脚注说明"/>
    <w:basedOn w:val="aff"/>
    <w:qFormat/>
    <w:rsid w:val="00F65813"/>
    <w:pPr>
      <w:ind w:left="544" w:hanging="181"/>
    </w:pPr>
    <w:rPr>
      <w:rFonts w:ascii="宋体" w:cs="宋体"/>
      <w:sz w:val="18"/>
      <w:szCs w:val="18"/>
    </w:rPr>
  </w:style>
  <w:style w:type="paragraph" w:customStyle="1" w:styleId="affffff6">
    <w:name w:val="图的脚注"/>
    <w:next w:val="affe"/>
    <w:qFormat/>
    <w:rsid w:val="00F65813"/>
    <w:pPr>
      <w:widowControl w:val="0"/>
      <w:spacing w:after="200" w:line="276" w:lineRule="auto"/>
      <w:ind w:leftChars="200" w:left="200" w:hangingChars="200" w:hanging="200"/>
      <w:jc w:val="both"/>
    </w:pPr>
    <w:rPr>
      <w:rFonts w:ascii="宋体" w:cs="宋体"/>
      <w:sz w:val="18"/>
      <w:szCs w:val="18"/>
    </w:rPr>
  </w:style>
  <w:style w:type="paragraph" w:customStyle="1" w:styleId="affffff7">
    <w:name w:val="文献分类号"/>
    <w:qFormat/>
    <w:rsid w:val="00F65813"/>
    <w:pPr>
      <w:framePr w:hSpace="180" w:vSpace="180" w:wrap="around" w:hAnchor="margin" w:y="1" w:anchorLock="1"/>
      <w:widowControl w:val="0"/>
      <w:spacing w:after="200" w:line="276" w:lineRule="auto"/>
      <w:textAlignment w:val="center"/>
    </w:pPr>
    <w:rPr>
      <w:rFonts w:ascii="黑体" w:eastAsia="黑体" w:cs="黑体"/>
      <w:sz w:val="21"/>
      <w:szCs w:val="21"/>
    </w:rPr>
  </w:style>
  <w:style w:type="paragraph" w:customStyle="1" w:styleId="affffff8">
    <w:name w:val="五级无"/>
    <w:basedOn w:val="a7"/>
    <w:qFormat/>
    <w:rsid w:val="00F65813"/>
    <w:pPr>
      <w:spacing w:beforeLines="0" w:afterLines="0"/>
    </w:pPr>
    <w:rPr>
      <w:rFonts w:ascii="宋体" w:eastAsia="宋体" w:cs="宋体"/>
    </w:rPr>
  </w:style>
  <w:style w:type="paragraph" w:customStyle="1" w:styleId="affffff9">
    <w:name w:val="一级无"/>
    <w:basedOn w:val="a4"/>
    <w:qFormat/>
    <w:rsid w:val="00F65813"/>
    <w:pPr>
      <w:spacing w:beforeLines="0" w:afterLines="0"/>
    </w:pPr>
    <w:rPr>
      <w:rFonts w:ascii="宋体" w:eastAsia="宋体" w:cs="宋体"/>
    </w:rPr>
  </w:style>
  <w:style w:type="paragraph" w:customStyle="1" w:styleId="af4">
    <w:name w:val="正文表标题"/>
    <w:next w:val="affe"/>
    <w:qFormat/>
    <w:rsid w:val="00F65813"/>
    <w:pPr>
      <w:numPr>
        <w:numId w:val="15"/>
      </w:numPr>
      <w:spacing w:beforeLines="50" w:afterLines="50" w:line="276" w:lineRule="auto"/>
      <w:jc w:val="center"/>
    </w:pPr>
    <w:rPr>
      <w:rFonts w:ascii="黑体" w:eastAsia="黑体" w:cs="黑体"/>
      <w:sz w:val="21"/>
      <w:szCs w:val="21"/>
    </w:rPr>
  </w:style>
  <w:style w:type="paragraph" w:customStyle="1" w:styleId="affffffa">
    <w:name w:val="正文公式编号制表符"/>
    <w:basedOn w:val="affe"/>
    <w:next w:val="affe"/>
    <w:qFormat/>
    <w:rsid w:val="00F65813"/>
    <w:pPr>
      <w:ind w:firstLineChars="0" w:firstLine="0"/>
    </w:pPr>
  </w:style>
  <w:style w:type="paragraph" w:customStyle="1" w:styleId="a1">
    <w:name w:val="正文图标题"/>
    <w:next w:val="affe"/>
    <w:qFormat/>
    <w:rsid w:val="00F65813"/>
    <w:pPr>
      <w:numPr>
        <w:numId w:val="16"/>
      </w:numPr>
      <w:spacing w:beforeLines="50" w:afterLines="50" w:line="276" w:lineRule="auto"/>
      <w:jc w:val="center"/>
    </w:pPr>
    <w:rPr>
      <w:rFonts w:ascii="黑体" w:eastAsia="黑体" w:cs="黑体"/>
      <w:sz w:val="21"/>
      <w:szCs w:val="21"/>
    </w:rPr>
  </w:style>
  <w:style w:type="paragraph" w:customStyle="1" w:styleId="affffffb">
    <w:name w:val="终结线"/>
    <w:basedOn w:val="aff"/>
    <w:qFormat/>
    <w:rsid w:val="00F65813"/>
    <w:pPr>
      <w:framePr w:hSpace="181" w:vSpace="181" w:wrap="around" w:vAnchor="text" w:hAnchor="margin" w:xAlign="center" w:y="285"/>
    </w:pPr>
  </w:style>
  <w:style w:type="paragraph" w:customStyle="1" w:styleId="affffffc">
    <w:name w:val="其他发布日期"/>
    <w:basedOn w:val="affff7"/>
    <w:qFormat/>
    <w:rsid w:val="00F65813"/>
    <w:pPr>
      <w:framePr w:wrap="around" w:vAnchor="page" w:hAnchor="text" w:x="1419"/>
    </w:pPr>
  </w:style>
  <w:style w:type="paragraph" w:customStyle="1" w:styleId="affffffd">
    <w:name w:val="其他实施日期"/>
    <w:basedOn w:val="affffff"/>
    <w:qFormat/>
    <w:rsid w:val="00F65813"/>
    <w:pPr>
      <w:framePr w:wrap="around"/>
    </w:pPr>
  </w:style>
  <w:style w:type="paragraph" w:customStyle="1" w:styleId="24">
    <w:name w:val="封面标准名称2"/>
    <w:basedOn w:val="affff9"/>
    <w:qFormat/>
    <w:rsid w:val="00F65813"/>
    <w:pPr>
      <w:framePr w:wrap="around" w:y="4469"/>
      <w:spacing w:beforeLines="630"/>
    </w:pPr>
  </w:style>
  <w:style w:type="paragraph" w:customStyle="1" w:styleId="25">
    <w:name w:val="封面标准英文名称2"/>
    <w:basedOn w:val="affffa"/>
    <w:qFormat/>
    <w:rsid w:val="00F65813"/>
    <w:pPr>
      <w:framePr w:wrap="around" w:y="4469"/>
    </w:pPr>
  </w:style>
  <w:style w:type="paragraph" w:customStyle="1" w:styleId="26">
    <w:name w:val="封面一致性程度标识2"/>
    <w:basedOn w:val="affffb"/>
    <w:qFormat/>
    <w:rsid w:val="00F65813"/>
    <w:pPr>
      <w:framePr w:wrap="around" w:y="4469"/>
    </w:pPr>
  </w:style>
  <w:style w:type="paragraph" w:customStyle="1" w:styleId="27">
    <w:name w:val="封面标准文稿类别2"/>
    <w:basedOn w:val="affffc"/>
    <w:qFormat/>
    <w:rsid w:val="00F65813"/>
    <w:pPr>
      <w:framePr w:wrap="around" w:y="4469"/>
    </w:pPr>
  </w:style>
  <w:style w:type="paragraph" w:customStyle="1" w:styleId="28">
    <w:name w:val="封面标准文稿编辑信息2"/>
    <w:basedOn w:val="affffd"/>
    <w:qFormat/>
    <w:rsid w:val="00F65813"/>
    <w:pPr>
      <w:framePr w:wrap="around" w:y="4469"/>
    </w:pPr>
  </w:style>
  <w:style w:type="character" w:customStyle="1" w:styleId="CharChar">
    <w:name w:val="Char Char"/>
    <w:qFormat/>
    <w:rsid w:val="00F65813"/>
    <w:rPr>
      <w:rFonts w:eastAsia="宋体"/>
      <w:kern w:val="2"/>
      <w:sz w:val="18"/>
      <w:szCs w:val="18"/>
      <w:lang w:val="en-US" w:eastAsia="zh-CN"/>
    </w:rPr>
  </w:style>
  <w:style w:type="character" w:customStyle="1" w:styleId="CharChar3">
    <w:name w:val="Char Char3"/>
    <w:qFormat/>
    <w:rsid w:val="00F65813"/>
    <w:rPr>
      <w:sz w:val="24"/>
      <w:szCs w:val="24"/>
    </w:rPr>
  </w:style>
  <w:style w:type="paragraph" w:customStyle="1" w:styleId="13">
    <w:name w:val="修订1"/>
    <w:hidden/>
    <w:uiPriority w:val="99"/>
    <w:semiHidden/>
    <w:qFormat/>
    <w:rsid w:val="00F65813"/>
    <w:pPr>
      <w:spacing w:after="200" w:line="276" w:lineRule="auto"/>
    </w:pPr>
    <w:rPr>
      <w:kern w:val="2"/>
      <w:sz w:val="21"/>
      <w:szCs w:val="21"/>
    </w:rPr>
  </w:style>
  <w:style w:type="paragraph" w:customStyle="1" w:styleId="affffffe">
    <w:name w:val="款"/>
    <w:basedOn w:val="aff"/>
    <w:link w:val="Chard"/>
    <w:qFormat/>
    <w:rsid w:val="00F65813"/>
    <w:pPr>
      <w:autoSpaceDE w:val="0"/>
      <w:autoSpaceDN w:val="0"/>
      <w:adjustRightInd w:val="0"/>
      <w:spacing w:line="360" w:lineRule="auto"/>
      <w:ind w:firstLineChars="200" w:firstLine="200"/>
      <w:jc w:val="left"/>
    </w:pPr>
    <w:rPr>
      <w:rFonts w:ascii="黑体"/>
      <w:color w:val="000000"/>
      <w:kern w:val="0"/>
      <w:lang w:val="zh-CN"/>
    </w:rPr>
  </w:style>
  <w:style w:type="character" w:customStyle="1" w:styleId="Chard">
    <w:name w:val="款 Char"/>
    <w:link w:val="affffffe"/>
    <w:qFormat/>
    <w:locked/>
    <w:rsid w:val="00F65813"/>
    <w:rPr>
      <w:rFonts w:ascii="黑体" w:cs="黑体"/>
      <w:color w:val="000000"/>
      <w:sz w:val="21"/>
      <w:szCs w:val="21"/>
    </w:rPr>
  </w:style>
  <w:style w:type="paragraph" w:customStyle="1" w:styleId="p1">
    <w:name w:val="p1"/>
    <w:basedOn w:val="aff"/>
    <w:qFormat/>
    <w:rsid w:val="00F65813"/>
    <w:pPr>
      <w:widowControl/>
    </w:pPr>
    <w:rPr>
      <w:rFonts w:ascii="Helvetica" w:hAnsi="Helvetica"/>
      <w:kern w:val="0"/>
      <w:sz w:val="24"/>
      <w:szCs w:val="24"/>
    </w:rPr>
  </w:style>
  <w:style w:type="paragraph" w:customStyle="1" w:styleId="14">
    <w:name w:val="列出段落1"/>
    <w:basedOn w:val="aff"/>
    <w:uiPriority w:val="34"/>
    <w:qFormat/>
    <w:rsid w:val="00F65813"/>
    <w:pPr>
      <w:ind w:firstLineChars="200" w:firstLine="420"/>
    </w:pPr>
  </w:style>
  <w:style w:type="character" w:customStyle="1" w:styleId="1Char">
    <w:name w:val="标题 1 Char"/>
    <w:link w:val="1"/>
    <w:uiPriority w:val="9"/>
    <w:qFormat/>
    <w:rsid w:val="00F65813"/>
    <w:rPr>
      <w:b/>
      <w:bCs/>
      <w:kern w:val="44"/>
      <w:sz w:val="44"/>
      <w:szCs w:val="44"/>
    </w:rPr>
  </w:style>
  <w:style w:type="character" w:customStyle="1" w:styleId="6Char">
    <w:name w:val="标题 6 Char"/>
    <w:link w:val="6"/>
    <w:uiPriority w:val="9"/>
    <w:semiHidden/>
    <w:qFormat/>
    <w:rsid w:val="00F65813"/>
    <w:rPr>
      <w:rFonts w:ascii="Cambria" w:hAnsi="Cambria"/>
      <w:i/>
      <w:iCs/>
      <w:color w:val="243F60"/>
      <w:kern w:val="2"/>
      <w:sz w:val="21"/>
      <w:szCs w:val="21"/>
    </w:rPr>
  </w:style>
  <w:style w:type="character" w:customStyle="1" w:styleId="Char7">
    <w:name w:val="页眉 Char"/>
    <w:link w:val="affc"/>
    <w:uiPriority w:val="99"/>
    <w:qFormat/>
    <w:rsid w:val="00F65813"/>
    <w:rPr>
      <w:kern w:val="2"/>
      <w:sz w:val="18"/>
      <w:szCs w:val="18"/>
    </w:rPr>
  </w:style>
  <w:style w:type="character" w:customStyle="1" w:styleId="Char6">
    <w:name w:val="页脚 Char"/>
    <w:link w:val="affb"/>
    <w:uiPriority w:val="99"/>
    <w:qFormat/>
    <w:rsid w:val="00F65813"/>
    <w:rPr>
      <w:kern w:val="2"/>
      <w:sz w:val="18"/>
      <w:szCs w:val="18"/>
    </w:rPr>
  </w:style>
  <w:style w:type="character" w:customStyle="1" w:styleId="Char8">
    <w:name w:val="脚注文本 Char"/>
    <w:link w:val="ae"/>
    <w:semiHidden/>
    <w:qFormat/>
    <w:rsid w:val="00F65813"/>
    <w:rPr>
      <w:rFonts w:ascii="宋体"/>
      <w:kern w:val="2"/>
      <w:sz w:val="18"/>
      <w:szCs w:val="18"/>
      <w:lang w:val="zh-CN"/>
    </w:rPr>
  </w:style>
  <w:style w:type="character" w:customStyle="1" w:styleId="Char4">
    <w:name w:val="尾注文本 Char"/>
    <w:link w:val="aff9"/>
    <w:semiHidden/>
    <w:qFormat/>
    <w:rsid w:val="00F65813"/>
    <w:rPr>
      <w:kern w:val="2"/>
      <w:sz w:val="21"/>
      <w:szCs w:val="21"/>
    </w:rPr>
  </w:style>
  <w:style w:type="character" w:customStyle="1" w:styleId="Char">
    <w:name w:val="文档结构图 Char"/>
    <w:link w:val="aff4"/>
    <w:semiHidden/>
    <w:qFormat/>
    <w:rsid w:val="00F65813"/>
    <w:rPr>
      <w:kern w:val="2"/>
      <w:sz w:val="21"/>
      <w:szCs w:val="21"/>
      <w:shd w:val="clear" w:color="auto" w:fill="000080"/>
    </w:rPr>
  </w:style>
  <w:style w:type="character" w:customStyle="1" w:styleId="3Char0">
    <w:name w:val="正文文本缩进 3 Char"/>
    <w:link w:val="32"/>
    <w:qFormat/>
    <w:rsid w:val="00F65813"/>
    <w:rPr>
      <w:spacing w:val="20"/>
      <w:sz w:val="21"/>
      <w:szCs w:val="21"/>
    </w:rPr>
  </w:style>
  <w:style w:type="character" w:customStyle="1" w:styleId="Char2">
    <w:name w:val="正文文本缩进 Char"/>
    <w:link w:val="aff7"/>
    <w:qFormat/>
    <w:rsid w:val="00F65813"/>
    <w:rPr>
      <w:kern w:val="2"/>
      <w:sz w:val="21"/>
      <w:szCs w:val="21"/>
    </w:rPr>
  </w:style>
  <w:style w:type="character" w:customStyle="1" w:styleId="2Char0">
    <w:name w:val="正文文本缩进 2 Char"/>
    <w:link w:val="20"/>
    <w:qFormat/>
    <w:rsid w:val="00F65813"/>
    <w:rPr>
      <w:kern w:val="2"/>
      <w:sz w:val="21"/>
      <w:szCs w:val="21"/>
    </w:rPr>
  </w:style>
  <w:style w:type="character" w:customStyle="1" w:styleId="Char3">
    <w:name w:val="日期 Char"/>
    <w:link w:val="aff8"/>
    <w:qFormat/>
    <w:rsid w:val="00F65813"/>
    <w:rPr>
      <w:sz w:val="24"/>
      <w:szCs w:val="24"/>
    </w:rPr>
  </w:style>
  <w:style w:type="character" w:customStyle="1" w:styleId="Char0">
    <w:name w:val="批注文字 Char"/>
    <w:link w:val="aff5"/>
    <w:semiHidden/>
    <w:qFormat/>
    <w:rsid w:val="00F65813"/>
    <w:rPr>
      <w:kern w:val="2"/>
      <w:sz w:val="21"/>
      <w:szCs w:val="21"/>
    </w:rPr>
  </w:style>
  <w:style w:type="character" w:customStyle="1" w:styleId="Char9">
    <w:name w:val="批注主题 Char"/>
    <w:link w:val="afff"/>
    <w:semiHidden/>
    <w:qFormat/>
    <w:rsid w:val="00F65813"/>
    <w:rPr>
      <w:b/>
      <w:bCs/>
      <w:kern w:val="2"/>
      <w:sz w:val="21"/>
      <w:szCs w:val="21"/>
    </w:rPr>
  </w:style>
  <w:style w:type="character" w:customStyle="1" w:styleId="Char5">
    <w:name w:val="批注框文本 Char"/>
    <w:link w:val="affa"/>
    <w:uiPriority w:val="99"/>
    <w:semiHidden/>
    <w:qFormat/>
    <w:rsid w:val="00F65813"/>
    <w:rPr>
      <w:kern w:val="2"/>
      <w:sz w:val="18"/>
      <w:szCs w:val="18"/>
    </w:rPr>
  </w:style>
  <w:style w:type="character" w:customStyle="1" w:styleId="2Char">
    <w:name w:val="标题 2 Char"/>
    <w:link w:val="2"/>
    <w:uiPriority w:val="9"/>
    <w:qFormat/>
    <w:rsid w:val="00F65813"/>
    <w:rPr>
      <w:rFonts w:ascii="Cambria" w:eastAsia="宋体" w:hAnsi="Cambria" w:cs="Times New Roman"/>
      <w:b/>
      <w:bCs/>
      <w:i/>
      <w:iCs/>
      <w:kern w:val="2"/>
      <w:sz w:val="28"/>
      <w:szCs w:val="28"/>
    </w:rPr>
  </w:style>
  <w:style w:type="character" w:customStyle="1" w:styleId="3Char">
    <w:name w:val="标题 3 Char"/>
    <w:link w:val="3"/>
    <w:uiPriority w:val="9"/>
    <w:qFormat/>
    <w:rsid w:val="00F65813"/>
    <w:rPr>
      <w:rFonts w:ascii="Cambria" w:eastAsia="宋体" w:hAnsi="Cambria" w:cs="Times New Roman"/>
      <w:b/>
      <w:bCs/>
      <w:kern w:val="2"/>
      <w:sz w:val="26"/>
      <w:szCs w:val="26"/>
    </w:rPr>
  </w:style>
  <w:style w:type="paragraph" w:styleId="afffffff">
    <w:name w:val="List Paragraph"/>
    <w:basedOn w:val="aff"/>
    <w:link w:val="Chare"/>
    <w:uiPriority w:val="34"/>
    <w:qFormat/>
    <w:rsid w:val="00F65813"/>
    <w:pPr>
      <w:spacing w:line="400" w:lineRule="atLeast"/>
      <w:ind w:firstLineChars="200" w:firstLine="420"/>
    </w:pPr>
  </w:style>
  <w:style w:type="character" w:customStyle="1" w:styleId="Chare">
    <w:name w:val="列出段落 Char"/>
    <w:link w:val="afffffff"/>
    <w:uiPriority w:val="34"/>
    <w:qFormat/>
    <w:rsid w:val="00F65813"/>
    <w:rPr>
      <w:kern w:val="2"/>
      <w:sz w:val="21"/>
      <w:szCs w:val="21"/>
    </w:rPr>
  </w:style>
  <w:style w:type="character" w:customStyle="1" w:styleId="afffffff0">
    <w:name w:val="列出段落 字符"/>
    <w:uiPriority w:val="99"/>
    <w:qFormat/>
    <w:rsid w:val="00F65813"/>
    <w:rPr>
      <w:rFonts w:ascii="Times New Roman" w:eastAsia="宋体" w:hAnsi="Times New Roman" w:cs="Times New Roman"/>
      <w:szCs w:val="21"/>
    </w:rPr>
  </w:style>
  <w:style w:type="paragraph" w:customStyle="1" w:styleId="TOC1">
    <w:name w:val="TOC 标题1"/>
    <w:basedOn w:val="1"/>
    <w:next w:val="aff"/>
    <w:uiPriority w:val="39"/>
    <w:unhideWhenUsed/>
    <w:qFormat/>
    <w:rsid w:val="00F65813"/>
    <w:pPr>
      <w:widowControl/>
      <w:spacing w:before="240" w:after="0" w:line="259" w:lineRule="auto"/>
      <w:jc w:val="left"/>
      <w:outlineLvl w:val="9"/>
    </w:pPr>
    <w:rPr>
      <w:rFonts w:ascii="等线 Light" w:eastAsia="等线 Light" w:hAnsi="等线 Light"/>
      <w:b w:val="0"/>
      <w:bCs w:val="0"/>
      <w:color w:val="2F5496"/>
      <w:kern w:val="0"/>
      <w:sz w:val="32"/>
      <w:szCs w:val="32"/>
      <w:lang w:val="en-US"/>
    </w:rPr>
  </w:style>
  <w:style w:type="character" w:customStyle="1" w:styleId="Char1">
    <w:name w:val="正文文本 Char"/>
    <w:basedOn w:val="aff0"/>
    <w:link w:val="aff6"/>
    <w:qFormat/>
    <w:rsid w:val="00F65813"/>
    <w:rPr>
      <w:kern w:val="2"/>
      <w:sz w:val="21"/>
      <w:szCs w:val="21"/>
    </w:rPr>
  </w:style>
  <w:style w:type="paragraph" w:customStyle="1" w:styleId="29">
    <w:name w:val="修订2"/>
    <w:hidden/>
    <w:uiPriority w:val="99"/>
    <w:semiHidden/>
    <w:rsid w:val="00F65813"/>
    <w:rPr>
      <w:kern w:val="2"/>
      <w:sz w:val="21"/>
      <w:szCs w:val="21"/>
    </w:rPr>
  </w:style>
  <w:style w:type="paragraph" w:customStyle="1" w:styleId="TableStyle1">
    <w:name w:val="Table Style 1"/>
    <w:rsid w:val="00F65813"/>
    <w:rPr>
      <w:rFonts w:ascii="Arial Unicode MS" w:eastAsia="Helvetica Neue" w:hAnsi="Arial Unicode MS" w:cs="Arial Unicode MS"/>
      <w:b/>
      <w:bCs/>
      <w:color w:val="000000"/>
      <w:u w:color="000000"/>
    </w:rPr>
  </w:style>
  <w:style w:type="paragraph" w:customStyle="1" w:styleId="TableStyle2">
    <w:name w:val="Table Style 2"/>
    <w:qFormat/>
    <w:rsid w:val="00F65813"/>
    <w:rPr>
      <w:rFonts w:ascii="Helvetica Neue" w:eastAsia="Arial Unicode MS" w:hAnsi="Helvetica Neue" w:cs="Arial Unicode MS"/>
      <w:color w:val="000000"/>
      <w:u w:color="000000"/>
    </w:rPr>
  </w:style>
  <w:style w:type="paragraph" w:customStyle="1" w:styleId="afffffff1">
    <w:name w:val="标准文件_附录一级条标题"/>
    <w:next w:val="aff"/>
    <w:rsid w:val="00F65813"/>
    <w:pPr>
      <w:widowControl w:val="0"/>
      <w:spacing w:beforeLines="50" w:afterLines="50"/>
      <w:jc w:val="both"/>
      <w:outlineLvl w:val="2"/>
    </w:pPr>
    <w:rPr>
      <w:rFonts w:ascii="黑体" w:eastAsia="黑体"/>
      <w:kern w:val="21"/>
      <w:sz w:val="21"/>
    </w:rPr>
  </w:style>
  <w:style w:type="paragraph" w:customStyle="1" w:styleId="afffffff2">
    <w:name w:val="标准文件_附录二级条标题"/>
    <w:basedOn w:val="afffffff1"/>
    <w:next w:val="aff"/>
    <w:rsid w:val="00F65813"/>
    <w:pPr>
      <w:widowControl/>
      <w:wordWrap w:val="0"/>
      <w:overflowPunct w:val="0"/>
      <w:autoSpaceDE w:val="0"/>
      <w:autoSpaceDN w:val="0"/>
      <w:textAlignment w:val="baseline"/>
      <w:outlineLvl w:val="3"/>
    </w:pPr>
  </w:style>
  <w:style w:type="paragraph" w:customStyle="1" w:styleId="afffffff3">
    <w:name w:val="标准文件_附录二级无标题"/>
    <w:basedOn w:val="afffffff2"/>
    <w:qFormat/>
    <w:rsid w:val="00F65813"/>
    <w:pPr>
      <w:spacing w:beforeLines="0" w:afterLines="0" w:line="276" w:lineRule="auto"/>
      <w:outlineLvl w:val="9"/>
    </w:pPr>
    <w:rPr>
      <w:rFonts w:ascii="宋体" w:eastAsia="宋体"/>
    </w:rPr>
  </w:style>
  <w:style w:type="paragraph" w:customStyle="1" w:styleId="afffffff4">
    <w:name w:val="标准文件_段"/>
    <w:link w:val="Charf"/>
    <w:rsid w:val="00F65813"/>
    <w:pPr>
      <w:autoSpaceDE w:val="0"/>
      <w:autoSpaceDN w:val="0"/>
      <w:ind w:firstLineChars="200" w:firstLine="200"/>
      <w:jc w:val="both"/>
    </w:pPr>
    <w:rPr>
      <w:rFonts w:ascii="宋体"/>
      <w:sz w:val="21"/>
    </w:rPr>
  </w:style>
  <w:style w:type="paragraph" w:customStyle="1" w:styleId="afffffff5">
    <w:name w:val="标准文件_表格"/>
    <w:basedOn w:val="afffffff4"/>
    <w:qFormat/>
    <w:rsid w:val="00F65813"/>
    <w:pPr>
      <w:ind w:firstLineChars="0" w:firstLine="0"/>
      <w:jc w:val="center"/>
    </w:pPr>
    <w:rPr>
      <w:sz w:val="18"/>
    </w:rPr>
  </w:style>
  <w:style w:type="character" w:customStyle="1" w:styleId="Charf">
    <w:name w:val="标准文件_段 Char"/>
    <w:link w:val="afffffff4"/>
    <w:qFormat/>
    <w:rsid w:val="00F65813"/>
    <w:rPr>
      <w:rFonts w:ascii="宋体"/>
      <w:sz w:val="21"/>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microsoft.com/office/2011/relationships/people" Target="peop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24</Pages>
  <Words>2434</Words>
  <Characters>13877</Characters>
  <Application>Microsoft Office Word</Application>
  <DocSecurity>0</DocSecurity>
  <Lines>115</Lines>
  <Paragraphs>32</Paragraphs>
  <ScaleCrop>false</ScaleCrop>
  <Company>Lenovo</Company>
  <LinksUpToDate>false</LinksUpToDate>
  <CharactersWithSpaces>16279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标准名称</dc:title>
  <dc:creator>CNIS</dc:creator>
  <cp:lastModifiedBy>白琳</cp:lastModifiedBy>
  <cp:revision>3</cp:revision>
  <cp:lastPrinted>2021-12-03T17:53:00Z</cp:lastPrinted>
  <dcterms:created xsi:type="dcterms:W3CDTF">2021-12-04T01:49:00Z</dcterms:created>
  <dcterms:modified xsi:type="dcterms:W3CDTF">2021-12-06T03:09:00Z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KSOProductBuildVer">
    <vt:lpwstr>2052-11.8.2.10505</vt:lpwstr>
  </property>
</Properties>
</file>