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92" w:rsidRPr="00B85B26" w:rsidRDefault="009D5092" w:rsidP="009D5092">
      <w:pPr>
        <w:widowControl/>
        <w:spacing w:line="240" w:lineRule="exact"/>
        <w:jc w:val="left"/>
        <w:rPr>
          <w:rFonts w:ascii="黑体" w:eastAsia="黑体" w:hAnsi="黑体" w:cs="Times New Roman"/>
          <w:kern w:val="0"/>
          <w:sz w:val="22"/>
          <w:szCs w:val="21"/>
        </w:rPr>
      </w:pPr>
      <w:r w:rsidRPr="00B85B26">
        <w:rPr>
          <w:rFonts w:ascii="黑体" w:eastAsia="黑体" w:hAnsi="黑体" w:cs="Times New Roman" w:hint="eastAsia"/>
          <w:kern w:val="0"/>
          <w:sz w:val="22"/>
          <w:szCs w:val="21"/>
        </w:rPr>
        <w:t>附件</w:t>
      </w:r>
    </w:p>
    <w:p w:rsidR="009D5092" w:rsidRPr="00903E4F" w:rsidRDefault="009D5092" w:rsidP="009D5092">
      <w:pPr>
        <w:widowControl/>
        <w:spacing w:line="440" w:lineRule="exact"/>
        <w:jc w:val="center"/>
        <w:rPr>
          <w:rFonts w:ascii="宋体" w:eastAsia="宋体" w:hAnsi="宋体" w:cs="宋体"/>
          <w:kern w:val="0"/>
          <w:sz w:val="24"/>
          <w:szCs w:val="24"/>
        </w:rPr>
      </w:pPr>
      <w:r w:rsidRPr="00A226A1">
        <w:rPr>
          <w:rFonts w:ascii="Times New Roman" w:eastAsia="华文中宋" w:hAnsi="Times New Roman" w:cs="Times New Roman" w:hint="eastAsia"/>
          <w:kern w:val="0"/>
          <w:sz w:val="32"/>
          <w:szCs w:val="44"/>
        </w:rPr>
        <w:t>2023</w:t>
      </w:r>
      <w:r w:rsidRPr="00A226A1">
        <w:rPr>
          <w:rFonts w:ascii="Times New Roman" w:eastAsia="华文中宋" w:hAnsi="Times New Roman" w:cs="Times New Roman" w:hint="eastAsia"/>
          <w:kern w:val="0"/>
          <w:sz w:val="32"/>
          <w:szCs w:val="44"/>
        </w:rPr>
        <w:t>年征占用林地行政许可</w:t>
      </w:r>
      <w:r>
        <w:rPr>
          <w:rFonts w:ascii="Times New Roman" w:eastAsia="华文中宋" w:hAnsi="Times New Roman" w:cs="Times New Roman" w:hint="eastAsia"/>
          <w:kern w:val="0"/>
          <w:sz w:val="32"/>
          <w:szCs w:val="44"/>
        </w:rPr>
        <w:t>事项行政</w:t>
      </w:r>
      <w:r w:rsidRPr="00A226A1">
        <w:rPr>
          <w:rFonts w:ascii="Times New Roman" w:eastAsia="华文中宋" w:hAnsi="Times New Roman" w:cs="Times New Roman" w:hint="eastAsia"/>
          <w:kern w:val="0"/>
          <w:sz w:val="32"/>
          <w:szCs w:val="44"/>
        </w:rPr>
        <w:t>执法检查工作</w:t>
      </w:r>
      <w:r w:rsidRPr="00A226A1">
        <w:rPr>
          <w:rFonts w:ascii="Times New Roman" w:eastAsia="华文中宋" w:hAnsi="Times New Roman" w:cs="Times New Roman"/>
          <w:kern w:val="0"/>
          <w:sz w:val="32"/>
          <w:szCs w:val="44"/>
        </w:rPr>
        <w:t>计划</w:t>
      </w:r>
      <w:r w:rsidRPr="00A226A1">
        <w:rPr>
          <w:rFonts w:ascii="Times New Roman" w:eastAsia="华文中宋" w:hAnsi="Times New Roman" w:cs="Times New Roman" w:hint="eastAsia"/>
          <w:kern w:val="0"/>
          <w:sz w:val="32"/>
          <w:szCs w:val="44"/>
        </w:rPr>
        <w:t>表</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r w:rsidRPr="00903E4F">
        <w:rPr>
          <w:rFonts w:ascii="黑体" w:eastAsia="黑体" w:hAnsi="黑体" w:cs="宋体" w:hint="eastAsia"/>
          <w:kern w:val="0"/>
          <w:sz w:val="29"/>
          <w:szCs w:val="29"/>
        </w:rPr>
        <w:t> </w:t>
      </w:r>
    </w:p>
    <w:tbl>
      <w:tblPr>
        <w:tblW w:w="15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417"/>
        <w:gridCol w:w="749"/>
        <w:gridCol w:w="573"/>
        <w:gridCol w:w="1470"/>
        <w:gridCol w:w="8094"/>
        <w:gridCol w:w="550"/>
        <w:gridCol w:w="698"/>
        <w:gridCol w:w="530"/>
        <w:gridCol w:w="530"/>
        <w:gridCol w:w="1240"/>
        <w:gridCol w:w="411"/>
        <w:gridCol w:w="361"/>
      </w:tblGrid>
      <w:tr w:rsidR="009D5092" w:rsidRPr="002E6E71" w:rsidTr="002B2D79">
        <w:trPr>
          <w:trHeight w:val="958"/>
          <w:jc w:val="center"/>
        </w:trPr>
        <w:tc>
          <w:tcPr>
            <w:tcW w:w="417" w:type="dxa"/>
            <w:shd w:val="clear" w:color="auto" w:fill="auto"/>
            <w:tcMar>
              <w:top w:w="0" w:type="dxa"/>
              <w:left w:w="105" w:type="dxa"/>
              <w:bottom w:w="0" w:type="dxa"/>
              <w:right w:w="105" w:type="dxa"/>
            </w:tcMar>
            <w:vAlign w:val="center"/>
            <w:hideMark/>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b/>
                <w:sz w:val="20"/>
                <w:szCs w:val="20"/>
              </w:rPr>
              <w:t>序号</w:t>
            </w:r>
          </w:p>
        </w:tc>
        <w:tc>
          <w:tcPr>
            <w:tcW w:w="749" w:type="dxa"/>
            <w:shd w:val="clear" w:color="auto" w:fill="auto"/>
            <w:tcMar>
              <w:top w:w="0" w:type="dxa"/>
              <w:left w:w="105" w:type="dxa"/>
              <w:bottom w:w="0" w:type="dxa"/>
              <w:right w:w="105" w:type="dxa"/>
            </w:tcMar>
            <w:vAlign w:val="center"/>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检查</w:t>
            </w:r>
          </w:p>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事项</w:t>
            </w:r>
          </w:p>
        </w:tc>
        <w:tc>
          <w:tcPr>
            <w:tcW w:w="573" w:type="dxa"/>
            <w:tcMar>
              <w:top w:w="0" w:type="dxa"/>
              <w:left w:w="105" w:type="dxa"/>
              <w:bottom w:w="0" w:type="dxa"/>
              <w:right w:w="105" w:type="dxa"/>
            </w:tcMar>
            <w:vAlign w:val="center"/>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检查主体</w:t>
            </w:r>
          </w:p>
        </w:tc>
        <w:tc>
          <w:tcPr>
            <w:tcW w:w="1470" w:type="dxa"/>
            <w:shd w:val="clear" w:color="auto" w:fill="auto"/>
            <w:tcMar>
              <w:top w:w="0" w:type="dxa"/>
              <w:left w:w="105" w:type="dxa"/>
              <w:bottom w:w="0" w:type="dxa"/>
              <w:right w:w="105" w:type="dxa"/>
            </w:tcMar>
            <w:vAlign w:val="center"/>
            <w:hideMark/>
          </w:tcPr>
          <w:p w:rsidR="009D5092" w:rsidRPr="00243D90" w:rsidRDefault="009D5092" w:rsidP="002B2D79">
            <w:pPr>
              <w:spacing w:line="280" w:lineRule="exact"/>
              <w:jc w:val="center"/>
              <w:rPr>
                <w:rFonts w:ascii="Times New Roman" w:hAnsi="Times New Roman" w:cs="Times New Roman"/>
                <w:b/>
                <w:sz w:val="20"/>
                <w:szCs w:val="20"/>
              </w:rPr>
            </w:pPr>
            <w:r>
              <w:rPr>
                <w:rFonts w:ascii="Times New Roman" w:hAnsi="Times New Roman" w:cs="Times New Roman" w:hint="eastAsia"/>
                <w:b/>
                <w:sz w:val="20"/>
                <w:szCs w:val="20"/>
              </w:rPr>
              <w:t>检查</w:t>
            </w:r>
            <w:r w:rsidRPr="00243D90">
              <w:rPr>
                <w:rFonts w:ascii="Times New Roman" w:hAnsi="Times New Roman" w:cs="Times New Roman"/>
                <w:b/>
                <w:sz w:val="20"/>
                <w:szCs w:val="20"/>
              </w:rPr>
              <w:t>内容</w:t>
            </w:r>
          </w:p>
        </w:tc>
        <w:tc>
          <w:tcPr>
            <w:tcW w:w="8094" w:type="dxa"/>
            <w:tcMar>
              <w:top w:w="0" w:type="dxa"/>
              <w:left w:w="105" w:type="dxa"/>
              <w:bottom w:w="0" w:type="dxa"/>
              <w:right w:w="105" w:type="dxa"/>
            </w:tcMar>
            <w:vAlign w:val="center"/>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执法依据</w:t>
            </w:r>
          </w:p>
        </w:tc>
        <w:tc>
          <w:tcPr>
            <w:tcW w:w="550" w:type="dxa"/>
            <w:shd w:val="clear" w:color="auto" w:fill="auto"/>
            <w:tcMar>
              <w:top w:w="0" w:type="dxa"/>
              <w:left w:w="105" w:type="dxa"/>
              <w:bottom w:w="0" w:type="dxa"/>
              <w:right w:w="105" w:type="dxa"/>
            </w:tcMar>
            <w:vAlign w:val="center"/>
            <w:hideMark/>
          </w:tcPr>
          <w:p w:rsidR="009D5092"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b/>
                <w:sz w:val="20"/>
                <w:szCs w:val="20"/>
              </w:rPr>
              <w:t>检查</w:t>
            </w:r>
          </w:p>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b/>
                <w:sz w:val="20"/>
                <w:szCs w:val="20"/>
              </w:rPr>
              <w:t>对象</w:t>
            </w:r>
          </w:p>
        </w:tc>
        <w:tc>
          <w:tcPr>
            <w:tcW w:w="698" w:type="dxa"/>
            <w:shd w:val="clear" w:color="auto" w:fill="auto"/>
            <w:tcMar>
              <w:top w:w="0" w:type="dxa"/>
              <w:left w:w="105" w:type="dxa"/>
              <w:bottom w:w="0" w:type="dxa"/>
              <w:right w:w="105" w:type="dxa"/>
            </w:tcMar>
            <w:vAlign w:val="center"/>
            <w:hideMark/>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检查</w:t>
            </w:r>
            <w:r w:rsidRPr="00243D90">
              <w:rPr>
                <w:rFonts w:ascii="Times New Roman" w:hAnsi="Times New Roman" w:cs="Times New Roman"/>
                <w:b/>
                <w:sz w:val="20"/>
                <w:szCs w:val="20"/>
              </w:rPr>
              <w:t>比例</w:t>
            </w:r>
          </w:p>
        </w:tc>
        <w:tc>
          <w:tcPr>
            <w:tcW w:w="530" w:type="dxa"/>
            <w:shd w:val="clear" w:color="auto" w:fill="auto"/>
            <w:tcMar>
              <w:top w:w="0" w:type="dxa"/>
              <w:left w:w="105" w:type="dxa"/>
              <w:bottom w:w="0" w:type="dxa"/>
              <w:right w:w="105" w:type="dxa"/>
            </w:tcMar>
            <w:vAlign w:val="center"/>
            <w:hideMark/>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检查</w:t>
            </w:r>
            <w:r w:rsidRPr="00243D90">
              <w:rPr>
                <w:rFonts w:ascii="Times New Roman" w:hAnsi="Times New Roman" w:cs="Times New Roman"/>
                <w:b/>
                <w:sz w:val="20"/>
                <w:szCs w:val="20"/>
              </w:rPr>
              <w:t>频次</w:t>
            </w:r>
          </w:p>
        </w:tc>
        <w:tc>
          <w:tcPr>
            <w:tcW w:w="530" w:type="dxa"/>
            <w:tcMar>
              <w:top w:w="0" w:type="dxa"/>
              <w:left w:w="105" w:type="dxa"/>
              <w:bottom w:w="0" w:type="dxa"/>
              <w:right w:w="105" w:type="dxa"/>
            </w:tcMar>
            <w:vAlign w:val="center"/>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检查层级</w:t>
            </w:r>
          </w:p>
        </w:tc>
        <w:tc>
          <w:tcPr>
            <w:tcW w:w="1240" w:type="dxa"/>
            <w:shd w:val="clear" w:color="auto" w:fill="auto"/>
            <w:tcMar>
              <w:top w:w="0" w:type="dxa"/>
              <w:left w:w="105" w:type="dxa"/>
              <w:bottom w:w="0" w:type="dxa"/>
              <w:right w:w="105" w:type="dxa"/>
            </w:tcMar>
            <w:vAlign w:val="center"/>
            <w:hideMark/>
          </w:tcPr>
          <w:p w:rsidR="009D5092"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具体实施</w:t>
            </w:r>
          </w:p>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部门</w:t>
            </w:r>
          </w:p>
        </w:tc>
        <w:tc>
          <w:tcPr>
            <w:tcW w:w="411" w:type="dxa"/>
            <w:shd w:val="clear" w:color="auto" w:fill="auto"/>
            <w:tcMar>
              <w:top w:w="0" w:type="dxa"/>
              <w:left w:w="105" w:type="dxa"/>
              <w:bottom w:w="0" w:type="dxa"/>
              <w:right w:w="105" w:type="dxa"/>
            </w:tcMar>
            <w:vAlign w:val="center"/>
            <w:hideMark/>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配合单位</w:t>
            </w:r>
          </w:p>
        </w:tc>
        <w:tc>
          <w:tcPr>
            <w:tcW w:w="361" w:type="dxa"/>
            <w:vAlign w:val="center"/>
          </w:tcPr>
          <w:p w:rsidR="009D5092" w:rsidRPr="00243D90" w:rsidRDefault="009D5092" w:rsidP="002B2D79">
            <w:pPr>
              <w:spacing w:line="280" w:lineRule="exact"/>
              <w:jc w:val="center"/>
              <w:rPr>
                <w:rFonts w:ascii="Times New Roman" w:hAnsi="Times New Roman" w:cs="Times New Roman"/>
                <w:b/>
                <w:sz w:val="20"/>
                <w:szCs w:val="20"/>
              </w:rPr>
            </w:pPr>
            <w:r w:rsidRPr="00243D90">
              <w:rPr>
                <w:rFonts w:ascii="Times New Roman" w:hAnsi="Times New Roman" w:cs="Times New Roman" w:hint="eastAsia"/>
                <w:b/>
                <w:sz w:val="20"/>
                <w:szCs w:val="20"/>
              </w:rPr>
              <w:t>检</w:t>
            </w:r>
            <w:r w:rsidRPr="00243D90">
              <w:rPr>
                <w:rFonts w:ascii="Times New Roman" w:hAnsi="Times New Roman" w:cs="Times New Roman"/>
                <w:b/>
                <w:sz w:val="20"/>
                <w:szCs w:val="20"/>
              </w:rPr>
              <w:t>查时间</w:t>
            </w:r>
          </w:p>
        </w:tc>
      </w:tr>
      <w:tr w:rsidR="009D5092" w:rsidRPr="002E6E71" w:rsidTr="002B2D79">
        <w:trPr>
          <w:trHeight w:val="6524"/>
          <w:jc w:val="center"/>
        </w:trPr>
        <w:tc>
          <w:tcPr>
            <w:tcW w:w="417" w:type="dxa"/>
            <w:shd w:val="clear" w:color="auto" w:fill="auto"/>
            <w:tcMar>
              <w:top w:w="0" w:type="dxa"/>
              <w:left w:w="105" w:type="dxa"/>
              <w:bottom w:w="0" w:type="dxa"/>
              <w:right w:w="105" w:type="dxa"/>
            </w:tcMar>
            <w:vAlign w:val="center"/>
          </w:tcPr>
          <w:p w:rsidR="009D5092" w:rsidRPr="002E6E71"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1</w:t>
            </w:r>
          </w:p>
        </w:tc>
        <w:tc>
          <w:tcPr>
            <w:tcW w:w="749" w:type="dxa"/>
            <w:shd w:val="clear" w:color="auto" w:fill="auto"/>
            <w:tcMar>
              <w:top w:w="0" w:type="dxa"/>
              <w:left w:w="105" w:type="dxa"/>
              <w:bottom w:w="0" w:type="dxa"/>
              <w:right w:w="105" w:type="dxa"/>
            </w:tcMar>
            <w:vAlign w:val="center"/>
          </w:tcPr>
          <w:p w:rsidR="009D5092" w:rsidRPr="002E6E71"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对征占用林地行政许可事项的</w:t>
            </w:r>
            <w:r>
              <w:rPr>
                <w:rFonts w:ascii="Times New Roman" w:hAnsi="Times New Roman" w:cs="Times New Roman" w:hint="eastAsia"/>
                <w:sz w:val="18"/>
                <w:szCs w:val="18"/>
              </w:rPr>
              <w:t>执法</w:t>
            </w:r>
            <w:r w:rsidRPr="002E6E71">
              <w:rPr>
                <w:rFonts w:ascii="Times New Roman" w:hAnsi="Times New Roman" w:cs="Times New Roman" w:hint="eastAsia"/>
                <w:sz w:val="18"/>
                <w:szCs w:val="18"/>
              </w:rPr>
              <w:t>检查</w:t>
            </w:r>
          </w:p>
        </w:tc>
        <w:tc>
          <w:tcPr>
            <w:tcW w:w="573" w:type="dxa"/>
            <w:tcMar>
              <w:top w:w="0" w:type="dxa"/>
              <w:left w:w="105" w:type="dxa"/>
              <w:bottom w:w="0" w:type="dxa"/>
              <w:right w:w="105" w:type="dxa"/>
            </w:tcMar>
            <w:vAlign w:val="center"/>
          </w:tcPr>
          <w:p w:rsidR="009D5092" w:rsidRPr="002E6E71" w:rsidRDefault="009D5092" w:rsidP="002B2D79">
            <w:pPr>
              <w:spacing w:line="300" w:lineRule="exact"/>
              <w:jc w:val="center"/>
              <w:rPr>
                <w:rFonts w:ascii="Times New Roman" w:hAnsi="Times New Roman" w:cs="Times New Roman"/>
                <w:sz w:val="18"/>
                <w:szCs w:val="18"/>
              </w:rPr>
            </w:pPr>
            <w:r w:rsidRPr="002E6E71">
              <w:rPr>
                <w:rFonts w:ascii="Times New Roman" w:hAnsi="Times New Roman" w:cs="Times New Roman" w:hint="eastAsia"/>
                <w:sz w:val="18"/>
                <w:szCs w:val="18"/>
              </w:rPr>
              <w:t>上海市林业局</w:t>
            </w:r>
          </w:p>
        </w:tc>
        <w:tc>
          <w:tcPr>
            <w:tcW w:w="1470" w:type="dxa"/>
            <w:shd w:val="clear" w:color="auto" w:fill="auto"/>
            <w:tcMar>
              <w:top w:w="0" w:type="dxa"/>
              <w:left w:w="105" w:type="dxa"/>
              <w:bottom w:w="0" w:type="dxa"/>
              <w:right w:w="105" w:type="dxa"/>
            </w:tcMar>
            <w:vAlign w:val="center"/>
          </w:tcPr>
          <w:p w:rsidR="009D5092" w:rsidRPr="002E6E71" w:rsidRDefault="009D5092" w:rsidP="002B2D79">
            <w:pPr>
              <w:spacing w:line="20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1.</w:t>
            </w:r>
            <w:r w:rsidRPr="002E6E71">
              <w:rPr>
                <w:rFonts w:ascii="Times New Roman" w:hAnsi="Times New Roman" w:cs="Times New Roman" w:hint="eastAsia"/>
                <w:sz w:val="18"/>
                <w:szCs w:val="18"/>
              </w:rPr>
              <w:t>行政相对人根据《上海市林业行政许可文书》要求实施征占用林地（包括征占用林地审批中涉及林木迁移与采伐）情况；</w:t>
            </w:r>
          </w:p>
          <w:p w:rsidR="009D5092" w:rsidRPr="002E6E71" w:rsidRDefault="009D5092" w:rsidP="002B2D79">
            <w:pPr>
              <w:spacing w:line="20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2.</w:t>
            </w:r>
            <w:r w:rsidRPr="002E6E71">
              <w:rPr>
                <w:rFonts w:ascii="Times New Roman" w:hAnsi="Times New Roman" w:cs="Times New Roman" w:hint="eastAsia"/>
                <w:sz w:val="18"/>
                <w:szCs w:val="18"/>
              </w:rPr>
              <w:t>行政相对人是否在承诺期限之前和《上海市林业行政许可文书》有效期内，按承诺方案完成补建林地和迁移林木工作；</w:t>
            </w:r>
          </w:p>
          <w:p w:rsidR="009D5092" w:rsidRPr="002E6E71" w:rsidRDefault="009D5092" w:rsidP="002B2D79">
            <w:pPr>
              <w:spacing w:line="20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3.</w:t>
            </w:r>
            <w:r w:rsidRPr="002E6E71">
              <w:rPr>
                <w:rFonts w:ascii="Times New Roman" w:hAnsi="Times New Roman" w:cs="Times New Roman" w:hint="eastAsia"/>
                <w:sz w:val="18"/>
                <w:szCs w:val="18"/>
              </w:rPr>
              <w:t>行政相对人补建林地、占用林地的选址、面积是否符合批文要求，林木种类、规格、成活率、养护标准等是否符合《上海市公益林建设技术规程》和《上海市公益林养护技术规程》要求；</w:t>
            </w:r>
          </w:p>
          <w:p w:rsidR="009D5092" w:rsidRPr="002E6E71" w:rsidRDefault="009D5092" w:rsidP="002B2D79">
            <w:pPr>
              <w:spacing w:line="20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4.</w:t>
            </w:r>
            <w:r w:rsidRPr="002E6E71">
              <w:rPr>
                <w:rFonts w:ascii="Times New Roman" w:hAnsi="Times New Roman" w:cs="Times New Roman"/>
                <w:sz w:val="18"/>
                <w:szCs w:val="18"/>
              </w:rPr>
              <w:t>是否存在违反法律法规规定行为的情况。</w:t>
            </w:r>
          </w:p>
        </w:tc>
        <w:tc>
          <w:tcPr>
            <w:tcW w:w="8094" w:type="dxa"/>
            <w:tcMar>
              <w:top w:w="0" w:type="dxa"/>
              <w:left w:w="105" w:type="dxa"/>
              <w:bottom w:w="0" w:type="dxa"/>
              <w:right w:w="105" w:type="dxa"/>
            </w:tcMar>
            <w:vAlign w:val="center"/>
          </w:tcPr>
          <w:p w:rsidR="009D5092"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1.</w:t>
            </w:r>
            <w:r w:rsidRPr="002E6E71">
              <w:rPr>
                <w:rFonts w:ascii="Times New Roman" w:hAnsi="Times New Roman" w:cs="Times New Roman" w:hint="eastAsia"/>
                <w:sz w:val="18"/>
                <w:szCs w:val="18"/>
              </w:rPr>
              <w:t>法律法规：</w:t>
            </w:r>
            <w:r>
              <w:rPr>
                <w:rFonts w:ascii="Times New Roman" w:hAnsi="Times New Roman" w:cs="Times New Roman" w:hint="eastAsia"/>
                <w:sz w:val="18"/>
                <w:szCs w:val="18"/>
              </w:rPr>
              <w:t>《中华人民共和国森林法》</w:t>
            </w:r>
            <w:r w:rsidRPr="00A524D6">
              <w:rPr>
                <w:rFonts w:ascii="Times New Roman" w:hAnsi="Times New Roman" w:cs="Times New Roman" w:hint="eastAsia"/>
                <w:sz w:val="18"/>
                <w:szCs w:val="18"/>
              </w:rPr>
              <w:t>第三十六条　国家保护林地，严格控制林地转为非林地，实行占用林地总量控制，确保林地保有量不减少。各类建设项目占用林地不得超过本行政区域的占用林地总量控制指标。</w:t>
            </w:r>
          </w:p>
          <w:p w:rsidR="009D5092" w:rsidRPr="002E6E71"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第三十七条　矿藏勘查、开采以及其他各类工程建设，应当不占或者少占林地</w:t>
            </w:r>
            <w:r w:rsidRPr="002E6E71">
              <w:rPr>
                <w:rFonts w:ascii="Times New Roman" w:hAnsi="Times New Roman" w:cs="Times New Roman" w:hint="eastAsia"/>
                <w:sz w:val="18"/>
                <w:szCs w:val="18"/>
              </w:rPr>
              <w:t>;</w:t>
            </w:r>
            <w:r w:rsidRPr="002E6E71">
              <w:rPr>
                <w:rFonts w:ascii="Times New Roman" w:hAnsi="Times New Roman" w:cs="Times New Roman" w:hint="eastAsia"/>
                <w:sz w:val="18"/>
                <w:szCs w:val="18"/>
              </w:rPr>
              <w:t>确需占用林地的，应当经县级以上人民政府林业主管部门审核同意，依法办理建设用地审批手续。</w:t>
            </w:r>
          </w:p>
          <w:p w:rsidR="009D5092" w:rsidRPr="002E6E71"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占用林地的单位应当缴纳森林植被恢复费。森林植被恢复费征收使用管理办法由国务院财政部门会同林业主管部门制定。</w:t>
            </w:r>
          </w:p>
          <w:p w:rsidR="009D5092" w:rsidRPr="002E6E71"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rsidR="009D5092"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中华人民共和国森林法实施条例》第十六条第一、二项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w:t>
            </w:r>
            <w:proofErr w:type="gramStart"/>
            <w:r w:rsidRPr="002E6E71">
              <w:rPr>
                <w:rFonts w:ascii="Times New Roman" w:hAnsi="Times New Roman" w:cs="Times New Roman" w:hint="eastAsia"/>
                <w:sz w:val="18"/>
                <w:szCs w:val="18"/>
              </w:rPr>
              <w:t>凭使用</w:t>
            </w:r>
            <w:proofErr w:type="gramEnd"/>
            <w:r w:rsidRPr="002E6E71">
              <w:rPr>
                <w:rFonts w:ascii="Times New Roman" w:hAnsi="Times New Roman" w:cs="Times New Roman" w:hint="eastAsia"/>
                <w:sz w:val="18"/>
                <w:szCs w:val="18"/>
              </w:rPr>
              <w:t>林地审核同意</w:t>
            </w:r>
            <w:proofErr w:type="gramStart"/>
            <w:r w:rsidRPr="002E6E71">
              <w:rPr>
                <w:rFonts w:ascii="Times New Roman" w:hAnsi="Times New Roman" w:cs="Times New Roman" w:hint="eastAsia"/>
                <w:sz w:val="18"/>
                <w:szCs w:val="18"/>
              </w:rPr>
              <w:t>书依法</w:t>
            </w:r>
            <w:proofErr w:type="gramEnd"/>
            <w:r w:rsidRPr="002E6E71">
              <w:rPr>
                <w:rFonts w:ascii="Times New Roman" w:hAnsi="Times New Roman" w:cs="Times New Roman" w:hint="eastAsia"/>
                <w:sz w:val="18"/>
                <w:szCs w:val="18"/>
              </w:rPr>
              <w:t>办理建设用地审批手续。占用或者征收、征用林地未经林业主管部门审核同意的，土地行政主管部门不得受理建设用地申请。（二）占用或者征收、征用防护林林地或者特种用途林林地面积</w:t>
            </w:r>
            <w:r w:rsidRPr="002E6E71">
              <w:rPr>
                <w:rFonts w:ascii="Times New Roman" w:hAnsi="Times New Roman" w:cs="Times New Roman" w:hint="eastAsia"/>
                <w:sz w:val="18"/>
                <w:szCs w:val="18"/>
              </w:rPr>
              <w:t>10</w:t>
            </w:r>
            <w:r w:rsidRPr="002E6E71">
              <w:rPr>
                <w:rFonts w:ascii="Times New Roman" w:hAnsi="Times New Roman" w:cs="Times New Roman" w:hint="eastAsia"/>
                <w:sz w:val="18"/>
                <w:szCs w:val="18"/>
              </w:rPr>
              <w:t>公顷以上的，用材林、经济林、薪炭林林地及其采伐迹地面积</w:t>
            </w:r>
            <w:r w:rsidRPr="002E6E71">
              <w:rPr>
                <w:rFonts w:ascii="Times New Roman" w:hAnsi="Times New Roman" w:cs="Times New Roman" w:hint="eastAsia"/>
                <w:sz w:val="18"/>
                <w:szCs w:val="18"/>
              </w:rPr>
              <w:t>35</w:t>
            </w:r>
            <w:r w:rsidRPr="002E6E71">
              <w:rPr>
                <w:rFonts w:ascii="Times New Roman" w:hAnsi="Times New Roman" w:cs="Times New Roman" w:hint="eastAsia"/>
                <w:sz w:val="18"/>
                <w:szCs w:val="18"/>
              </w:rPr>
              <w:t>公顷以上的，其他林地面积</w:t>
            </w:r>
            <w:r w:rsidRPr="002E6E71">
              <w:rPr>
                <w:rFonts w:ascii="Times New Roman" w:hAnsi="Times New Roman" w:cs="Times New Roman" w:hint="eastAsia"/>
                <w:sz w:val="18"/>
                <w:szCs w:val="18"/>
              </w:rPr>
              <w:t>70</w:t>
            </w:r>
            <w:r w:rsidRPr="002E6E71">
              <w:rPr>
                <w:rFonts w:ascii="Times New Roman" w:hAnsi="Times New Roman" w:cs="Times New Roman" w:hint="eastAsia"/>
                <w:sz w:val="18"/>
                <w:szCs w:val="18"/>
              </w:rPr>
              <w:t>公顷以上的，由国务院林业主管部门审核；占用或者征收、征用林地面积低于上述规定数量的，由省、自治区、直辖市人民政府林业主管部门审核。占用或者征收、征用重点林区的林地的，由国务院林业主管部门审核。</w:t>
            </w:r>
          </w:p>
          <w:p w:rsidR="009D5092"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2.</w:t>
            </w:r>
            <w:r w:rsidRPr="002E6E71">
              <w:rPr>
                <w:rFonts w:ascii="Times New Roman" w:hAnsi="Times New Roman" w:cs="Times New Roman" w:hint="eastAsia"/>
                <w:sz w:val="18"/>
                <w:szCs w:val="18"/>
              </w:rPr>
              <w:t>部门规章：《建设项目使用林地审核审批管理办法》第九条建设项目需要使用林地的，用地单位或者个人应当向林地所在地的县级人民政府林业主管部门提出申请；跨县级行政区域的，分别向林地所在地的县级人民政府林业主管部门提出申请。</w:t>
            </w:r>
          </w:p>
          <w:p w:rsidR="009D5092" w:rsidRDefault="009D5092" w:rsidP="002B2D79">
            <w:pPr>
              <w:spacing w:line="200" w:lineRule="exact"/>
              <w:ind w:firstLineChars="200" w:firstLine="360"/>
              <w:rPr>
                <w:rFonts w:ascii="Times New Roman" w:hAnsi="Times New Roman" w:cs="Times New Roman"/>
                <w:sz w:val="18"/>
                <w:szCs w:val="18"/>
              </w:rPr>
            </w:pPr>
            <w:r w:rsidRPr="002E6E71">
              <w:rPr>
                <w:rFonts w:ascii="Times New Roman" w:hAnsi="Times New Roman" w:cs="Times New Roman" w:hint="eastAsia"/>
                <w:sz w:val="18"/>
                <w:szCs w:val="18"/>
              </w:rPr>
              <w:t>第十二条第一款按照规定需要报上级人民政府林业主管部门审核和审批的建设项目，下级人民政府林业主管部门应当将初步审查意见和全部材料报上级人民政府林业主管部门。</w:t>
            </w:r>
          </w:p>
          <w:p w:rsidR="009D5092" w:rsidRPr="00A524D6" w:rsidRDefault="009D5092" w:rsidP="002B2D79">
            <w:pPr>
              <w:spacing w:line="200" w:lineRule="exact"/>
              <w:ind w:firstLineChars="200" w:firstLine="360"/>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hint="eastAsia"/>
                <w:sz w:val="18"/>
                <w:szCs w:val="18"/>
              </w:rPr>
              <w:t>地方政府规章：《上海市森林管理规定》</w:t>
            </w:r>
            <w:r w:rsidRPr="00A524D6">
              <w:rPr>
                <w:rFonts w:ascii="Times New Roman" w:hAnsi="Times New Roman" w:cs="Times New Roman" w:hint="eastAsia"/>
                <w:sz w:val="18"/>
                <w:szCs w:val="18"/>
              </w:rPr>
              <w:t>第二十一条（占用林地许可）矿藏勘查、开采以及其他各类工程建设，应当不占或者少占林地；确需占用林地的，应当向市林业部门提出申请，按照审核权限经审核同意后，依法办理建设用地审批手续。市林业部门在林地占用定额内对林地占用申请进行审核。</w:t>
            </w:r>
          </w:p>
          <w:p w:rsidR="009D5092" w:rsidRPr="00A524D6" w:rsidRDefault="009D5092" w:rsidP="002B2D79">
            <w:pPr>
              <w:spacing w:line="200" w:lineRule="exact"/>
              <w:ind w:firstLineChars="200" w:firstLine="360"/>
              <w:rPr>
                <w:rFonts w:ascii="Times New Roman" w:hAnsi="Times New Roman" w:cs="Times New Roman"/>
                <w:sz w:val="18"/>
                <w:szCs w:val="18"/>
              </w:rPr>
            </w:pPr>
            <w:r w:rsidRPr="00A524D6">
              <w:rPr>
                <w:rFonts w:ascii="Times New Roman" w:hAnsi="Times New Roman" w:cs="Times New Roman" w:hint="eastAsia"/>
                <w:sz w:val="18"/>
                <w:szCs w:val="18"/>
              </w:rPr>
              <w:t>占用林地的单位应当缴纳森林植被恢复费。市财政、林业部门应当在国家规定的标准基础上，结合实际情况，制定本市森林植被恢复费具体征收标准。</w:t>
            </w:r>
          </w:p>
          <w:p w:rsidR="009D5092" w:rsidRPr="00A524D6" w:rsidRDefault="009D5092" w:rsidP="002B2D79">
            <w:pPr>
              <w:spacing w:line="200" w:lineRule="exact"/>
              <w:ind w:firstLineChars="200" w:firstLine="360"/>
              <w:rPr>
                <w:rFonts w:ascii="Times New Roman" w:hAnsi="Times New Roman" w:cs="Times New Roman"/>
                <w:sz w:val="18"/>
                <w:szCs w:val="18"/>
              </w:rPr>
            </w:pPr>
            <w:r w:rsidRPr="00A524D6">
              <w:rPr>
                <w:rFonts w:ascii="Times New Roman" w:hAnsi="Times New Roman" w:cs="Times New Roman" w:hint="eastAsia"/>
                <w:sz w:val="18"/>
                <w:szCs w:val="18"/>
              </w:rPr>
              <w:t>区林业部门应当按照规定安排植树造林，恢复森林植被，植树造林面积不得少于因占用林地而减少的森林植被面积。市林业部门应当定期督促区林业部门组织植树造林、恢复森林植被，并进行检查。</w:t>
            </w:r>
          </w:p>
          <w:p w:rsidR="009D5092" w:rsidRPr="00A524D6" w:rsidRDefault="009D5092" w:rsidP="002B2D79">
            <w:pPr>
              <w:spacing w:line="200" w:lineRule="exact"/>
              <w:ind w:firstLineChars="200" w:firstLine="360"/>
              <w:rPr>
                <w:rFonts w:ascii="Times New Roman" w:hAnsi="Times New Roman" w:cs="Times New Roman"/>
                <w:sz w:val="18"/>
                <w:szCs w:val="18"/>
              </w:rPr>
            </w:pPr>
            <w:r w:rsidRPr="00A524D6">
              <w:rPr>
                <w:rFonts w:ascii="Times New Roman" w:hAnsi="Times New Roman" w:cs="Times New Roman" w:hint="eastAsia"/>
                <w:sz w:val="18"/>
                <w:szCs w:val="18"/>
              </w:rPr>
              <w:t>建设项目涉及占用林地的，规划资源部门在核定、提出规划条件阶段，应当征求市林业部门意见。</w:t>
            </w:r>
          </w:p>
        </w:tc>
        <w:tc>
          <w:tcPr>
            <w:tcW w:w="550" w:type="dxa"/>
            <w:shd w:val="clear" w:color="auto" w:fill="auto"/>
            <w:tcMar>
              <w:top w:w="0" w:type="dxa"/>
              <w:left w:w="105" w:type="dxa"/>
              <w:bottom w:w="0" w:type="dxa"/>
              <w:right w:w="105" w:type="dxa"/>
            </w:tcMar>
            <w:vAlign w:val="center"/>
          </w:tcPr>
          <w:p w:rsidR="009D5092" w:rsidRPr="00A524D6" w:rsidRDefault="009D5092" w:rsidP="002B2D79">
            <w:pPr>
              <w:jc w:val="center"/>
              <w:rPr>
                <w:rFonts w:ascii="Times New Roman" w:hAnsi="Times New Roman" w:cs="Times New Roman"/>
                <w:sz w:val="16"/>
                <w:szCs w:val="18"/>
              </w:rPr>
            </w:pPr>
            <w:r w:rsidRPr="00A524D6">
              <w:rPr>
                <w:rFonts w:ascii="Times New Roman" w:hAnsi="Times New Roman" w:cs="Times New Roman"/>
                <w:sz w:val="16"/>
                <w:szCs w:val="18"/>
              </w:rPr>
              <w:t>办理行政许可的</w:t>
            </w:r>
            <w:r>
              <w:rPr>
                <w:rFonts w:ascii="Times New Roman" w:hAnsi="Times New Roman" w:cs="Times New Roman" w:hint="eastAsia"/>
                <w:sz w:val="16"/>
                <w:szCs w:val="18"/>
              </w:rPr>
              <w:t>单位</w:t>
            </w:r>
            <w:r w:rsidRPr="00A524D6">
              <w:rPr>
                <w:rFonts w:ascii="Times New Roman" w:hAnsi="Times New Roman" w:cs="Times New Roman"/>
                <w:sz w:val="16"/>
                <w:szCs w:val="18"/>
              </w:rPr>
              <w:t>或个人</w:t>
            </w:r>
          </w:p>
        </w:tc>
        <w:tc>
          <w:tcPr>
            <w:tcW w:w="698" w:type="dxa"/>
            <w:shd w:val="clear" w:color="auto" w:fill="auto"/>
            <w:tcMar>
              <w:top w:w="0" w:type="dxa"/>
              <w:left w:w="105" w:type="dxa"/>
              <w:bottom w:w="0" w:type="dxa"/>
              <w:right w:w="105" w:type="dxa"/>
            </w:tcMar>
            <w:vAlign w:val="center"/>
          </w:tcPr>
          <w:p w:rsidR="009D5092" w:rsidRPr="002E6E71" w:rsidRDefault="009D5092" w:rsidP="002B2D79">
            <w:pPr>
              <w:spacing w:line="360" w:lineRule="auto"/>
              <w:jc w:val="center"/>
              <w:rPr>
                <w:rFonts w:ascii="Times New Roman" w:hAnsi="Times New Roman" w:cs="Times New Roman"/>
                <w:sz w:val="18"/>
                <w:szCs w:val="18"/>
              </w:rPr>
            </w:pPr>
            <w:r w:rsidRPr="002E6E71">
              <w:rPr>
                <w:rFonts w:ascii="Times New Roman" w:hAnsi="Times New Roman" w:cs="Times New Roman" w:hint="eastAsia"/>
                <w:sz w:val="18"/>
                <w:szCs w:val="18"/>
              </w:rPr>
              <w:t>100%</w:t>
            </w:r>
          </w:p>
        </w:tc>
        <w:tc>
          <w:tcPr>
            <w:tcW w:w="530" w:type="dxa"/>
            <w:shd w:val="clear" w:color="auto" w:fill="auto"/>
            <w:tcMar>
              <w:top w:w="0" w:type="dxa"/>
              <w:left w:w="105" w:type="dxa"/>
              <w:bottom w:w="0" w:type="dxa"/>
              <w:right w:w="105" w:type="dxa"/>
            </w:tcMar>
            <w:vAlign w:val="center"/>
          </w:tcPr>
          <w:p w:rsidR="009D5092" w:rsidRPr="00A524D6" w:rsidRDefault="009D5092" w:rsidP="002B2D79">
            <w:pPr>
              <w:spacing w:line="240" w:lineRule="exact"/>
              <w:rPr>
                <w:rFonts w:ascii="Times New Roman" w:hAnsi="Times New Roman" w:cs="Times New Roman"/>
                <w:sz w:val="16"/>
                <w:szCs w:val="18"/>
              </w:rPr>
            </w:pPr>
            <w:r w:rsidRPr="00A524D6">
              <w:rPr>
                <w:rFonts w:ascii="Times New Roman" w:hAnsi="Times New Roman" w:cs="Times New Roman"/>
                <w:sz w:val="16"/>
                <w:szCs w:val="18"/>
              </w:rPr>
              <w:t>一年一次</w:t>
            </w:r>
            <w:r w:rsidRPr="00A524D6">
              <w:rPr>
                <w:rFonts w:ascii="Times New Roman" w:hAnsi="Times New Roman" w:cs="Times New Roman" w:hint="eastAsia"/>
                <w:sz w:val="16"/>
                <w:szCs w:val="18"/>
              </w:rPr>
              <w:t>；有问题的增加一次。</w:t>
            </w:r>
          </w:p>
        </w:tc>
        <w:tc>
          <w:tcPr>
            <w:tcW w:w="530" w:type="dxa"/>
            <w:tcMar>
              <w:top w:w="0" w:type="dxa"/>
              <w:left w:w="105" w:type="dxa"/>
              <w:bottom w:w="0" w:type="dxa"/>
              <w:right w:w="105" w:type="dxa"/>
            </w:tcMar>
            <w:vAlign w:val="center"/>
          </w:tcPr>
          <w:p w:rsidR="009D5092" w:rsidRPr="002E6E71"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市级</w:t>
            </w:r>
          </w:p>
        </w:tc>
        <w:tc>
          <w:tcPr>
            <w:tcW w:w="1240" w:type="dxa"/>
            <w:shd w:val="clear" w:color="auto" w:fill="auto"/>
            <w:tcMar>
              <w:top w:w="0" w:type="dxa"/>
              <w:left w:w="105" w:type="dxa"/>
              <w:bottom w:w="0" w:type="dxa"/>
              <w:right w:w="105" w:type="dxa"/>
            </w:tcMar>
            <w:vAlign w:val="center"/>
          </w:tcPr>
          <w:p w:rsidR="009D5092" w:rsidRPr="002E6E71"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牵头：执法处</w:t>
            </w:r>
          </w:p>
          <w:p w:rsidR="009D5092"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协同：各区局</w:t>
            </w:r>
          </w:p>
          <w:p w:rsidR="009D5092" w:rsidRPr="002E6E71" w:rsidRDefault="009D5092" w:rsidP="002B2D79">
            <w:pPr>
              <w:jc w:val="center"/>
              <w:rPr>
                <w:rFonts w:ascii="Times New Roman" w:hAnsi="Times New Roman" w:cs="Times New Roman"/>
                <w:sz w:val="18"/>
                <w:szCs w:val="18"/>
              </w:rPr>
            </w:pPr>
            <w:r>
              <w:rPr>
                <w:rFonts w:ascii="Times New Roman" w:hAnsi="Times New Roman" w:cs="Times New Roman" w:hint="eastAsia"/>
                <w:sz w:val="18"/>
                <w:szCs w:val="18"/>
              </w:rPr>
              <w:t>业务指导：林业处、许可处</w:t>
            </w:r>
          </w:p>
        </w:tc>
        <w:tc>
          <w:tcPr>
            <w:tcW w:w="411" w:type="dxa"/>
            <w:shd w:val="clear" w:color="auto" w:fill="auto"/>
            <w:tcMar>
              <w:top w:w="0" w:type="dxa"/>
              <w:left w:w="105" w:type="dxa"/>
              <w:bottom w:w="0" w:type="dxa"/>
              <w:right w:w="105" w:type="dxa"/>
            </w:tcMar>
            <w:vAlign w:val="center"/>
          </w:tcPr>
          <w:p w:rsidR="009D5092" w:rsidRPr="002E6E71" w:rsidRDefault="009D5092" w:rsidP="002B2D79">
            <w:pPr>
              <w:jc w:val="center"/>
              <w:rPr>
                <w:rFonts w:ascii="Times New Roman" w:hAnsi="Times New Roman" w:cs="Times New Roman"/>
                <w:sz w:val="18"/>
                <w:szCs w:val="18"/>
              </w:rPr>
            </w:pPr>
            <w:r w:rsidRPr="002E6E71">
              <w:rPr>
                <w:rFonts w:ascii="Times New Roman" w:hAnsi="Times New Roman" w:cs="Times New Roman" w:hint="eastAsia"/>
                <w:sz w:val="18"/>
                <w:szCs w:val="18"/>
              </w:rPr>
              <w:t>各区林业站</w:t>
            </w:r>
          </w:p>
        </w:tc>
        <w:tc>
          <w:tcPr>
            <w:tcW w:w="361" w:type="dxa"/>
            <w:vAlign w:val="center"/>
          </w:tcPr>
          <w:p w:rsidR="009D5092" w:rsidRPr="002E6E71" w:rsidRDefault="009D5092" w:rsidP="002B2D79">
            <w:pPr>
              <w:jc w:val="center"/>
              <w:rPr>
                <w:rFonts w:ascii="Times New Roman" w:hAnsi="Times New Roman" w:cs="Times New Roman"/>
                <w:sz w:val="18"/>
                <w:szCs w:val="18"/>
              </w:rPr>
            </w:pPr>
            <w:r>
              <w:rPr>
                <w:rFonts w:ascii="Times New Roman" w:hAnsi="Times New Roman" w:cs="Times New Roman" w:hint="eastAsia"/>
                <w:sz w:val="18"/>
                <w:szCs w:val="18"/>
              </w:rPr>
              <w:t>全年</w:t>
            </w:r>
          </w:p>
        </w:tc>
      </w:tr>
    </w:tbl>
    <w:p w:rsidR="009D5092" w:rsidRPr="00485CEA" w:rsidRDefault="009D5092" w:rsidP="009D5092">
      <w:pPr>
        <w:widowControl/>
        <w:spacing w:line="200" w:lineRule="exact"/>
        <w:jc w:val="left"/>
        <w:rPr>
          <w:rFonts w:ascii="Times New Roman" w:eastAsia="仿宋_GB2312" w:hAnsi="Times New Roman" w:cs="Times New Roman"/>
          <w:color w:val="000000" w:themeColor="text1"/>
          <w:sz w:val="32"/>
          <w:szCs w:val="32"/>
        </w:rPr>
      </w:pPr>
    </w:p>
    <w:p w:rsidR="009740A4" w:rsidRDefault="009740A4"/>
    <w:sectPr w:rsidR="009740A4" w:rsidSect="00A524D6">
      <w:pgSz w:w="16838" w:h="11906" w:orient="landscape"/>
      <w:pgMar w:top="1797" w:right="1440" w:bottom="1134" w:left="1440" w:header="851" w:footer="688"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5092"/>
    <w:rsid w:val="009740A4"/>
    <w:rsid w:val="009D5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2024-03-28T01:49:00Z</dcterms:created>
  <dcterms:modified xsi:type="dcterms:W3CDTF">2024-03-28T01:50:00Z</dcterms:modified>
</cp:coreProperties>
</file>