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bCs/>
          <w:sz w:val="44"/>
          <w:szCs w:val="44"/>
        </w:rPr>
      </w:pPr>
    </w:p>
    <w:p>
      <w:pPr>
        <w:spacing w:line="600" w:lineRule="exact"/>
        <w:jc w:val="center"/>
      </w:pPr>
      <w:r>
        <w:rPr>
          <w:rFonts w:hint="eastAsia" w:ascii="华文中宋" w:hAnsi="华文中宋" w:eastAsia="华文中宋"/>
          <w:bCs/>
          <w:sz w:val="44"/>
          <w:szCs w:val="44"/>
        </w:rPr>
        <w:t>上海市绿化和市容管理局2026年工作要点</w:t>
      </w:r>
    </w:p>
    <w:p>
      <w:pPr>
        <w:spacing w:line="600" w:lineRule="exact"/>
        <w:ind w:firstLine="627" w:firstLineChars="196"/>
        <w:rPr>
          <w:szCs w:val="32"/>
        </w:rPr>
      </w:pPr>
      <w:bookmarkStart w:id="0" w:name="OLE_LINK31"/>
      <w:bookmarkStart w:id="1" w:name="OLE_LINK30"/>
    </w:p>
    <w:p>
      <w:pPr>
        <w:spacing w:line="600" w:lineRule="exact"/>
        <w:ind w:firstLine="627" w:firstLineChars="196"/>
        <w:rPr>
          <w:rFonts w:hAnsi="仿宋_GB2312" w:cs="仿宋_GB2312"/>
          <w:szCs w:val="32"/>
        </w:rPr>
      </w:pPr>
      <w:r>
        <w:rPr>
          <w:rFonts w:hint="eastAsia" w:hAnsi="Segoe UI" w:cs="Segoe UI"/>
          <w:color w:val="0F1115"/>
          <w:szCs w:val="32"/>
          <w:shd w:val="clear" w:color="auto" w:fill="FFFFFF"/>
        </w:rPr>
        <w:t>2026年，市绿化市容局坚持以习近平新时代中国特色社会主义思想为指导，深入学习贯彻党的二十届四中全会和十二届市委八次全会精神，聚焦市委、市政府重点任务和局党组重点工作“三张清单”“三项支撑”，</w:t>
      </w:r>
      <w:r>
        <w:rPr>
          <w:rFonts w:hint="eastAsia" w:hAnsi="仿宋_GB2312" w:cs="仿宋_GB2312"/>
          <w:szCs w:val="32"/>
        </w:rPr>
        <w:t>全力推进绿化市容工作迈上新台阶，确保“十五五”开好局、起好步。</w:t>
      </w:r>
    </w:p>
    <w:p>
      <w:pPr>
        <w:pStyle w:val="9"/>
        <w:spacing w:after="0" w:line="600" w:lineRule="exact"/>
        <w:ind w:firstLine="640" w:firstLineChars="200"/>
        <w:rPr>
          <w:rStyle w:val="14"/>
          <w:rFonts w:ascii="黑体" w:hAnsi="黑体" w:eastAsia="黑体" w:cs="Segoe UI"/>
          <w:b w:val="0"/>
          <w:color w:val="0F1115"/>
          <w:sz w:val="32"/>
          <w:szCs w:val="32"/>
          <w:shd w:val="clear" w:color="auto" w:fill="FFFFFF"/>
        </w:rPr>
      </w:pPr>
      <w:r>
        <w:rPr>
          <w:rStyle w:val="14"/>
          <w:rFonts w:hint="eastAsia" w:ascii="黑体" w:hAnsi="黑体" w:eastAsia="黑体" w:cs="Segoe UI"/>
          <w:b w:val="0"/>
          <w:color w:val="0F1115"/>
          <w:sz w:val="32"/>
          <w:szCs w:val="32"/>
          <w:shd w:val="clear" w:color="auto" w:fill="FFFFFF"/>
        </w:rPr>
        <w:t>一、锚定公园城市建设目标，打造优质绿色生态空间</w:t>
      </w:r>
    </w:p>
    <w:p>
      <w:pPr>
        <w:spacing w:line="600" w:lineRule="exact"/>
        <w:ind w:firstLine="643" w:firstLineChars="200"/>
        <w:rPr>
          <w:rFonts w:ascii="楷体_GB2312" w:hAnsi="黑体" w:eastAsia="楷体_GB2312" w:cs="Segoe UI"/>
          <w:b/>
          <w:bCs/>
        </w:rPr>
      </w:pPr>
      <w:r>
        <w:rPr>
          <w:rFonts w:hint="eastAsia" w:ascii="楷体_GB2312" w:hAnsi="黑体" w:eastAsia="楷体_GB2312" w:cs="Segoe UI"/>
          <w:b/>
          <w:bCs/>
        </w:rPr>
        <w:t>1.深化公园城市建设。</w:t>
      </w:r>
      <w:r>
        <w:rPr>
          <w:rFonts w:hint="eastAsia" w:hAnsi="仿宋"/>
          <w:szCs w:val="32"/>
        </w:rPr>
        <w:t>研究出台深化建设公园城市指导意见，启动新一轮公园建设。</w:t>
      </w:r>
      <w:r>
        <w:rPr>
          <w:rFonts w:hint="eastAsia" w:hAnsi="仿宋_GB2312" w:cs="仿宋_GB2312"/>
          <w:szCs w:val="32"/>
        </w:rPr>
        <w:t>新增公园100座，新建绿地500公顷、绿道100公里、立体绿化10万平方米，新增单位附属绿地开放共享20处。</w:t>
      </w:r>
      <w:r>
        <w:rPr>
          <w:rFonts w:hint="eastAsia" w:hAnsi="Segoe UI" w:cs="Segoe UI"/>
          <w:szCs w:val="32"/>
          <w:shd w:val="clear" w:color="auto" w:fill="FFFFFF"/>
        </w:rPr>
        <w:t>办好上海国际花卉节。</w:t>
      </w:r>
      <w:r>
        <w:rPr>
          <w:rFonts w:hint="eastAsia" w:hAnsi="仿宋"/>
          <w:szCs w:val="32"/>
        </w:rPr>
        <w:t>进一步研究绿化率统筹政策，会同市规划资源局深入研究G0、G9政策的实施路径，全力支持市重大工程、城中村改造等落地实施。</w:t>
      </w:r>
      <w:r>
        <w:rPr>
          <w:rFonts w:hint="eastAsia" w:hAnsi="Segoe UI" w:cs="Segoe UI"/>
          <w:szCs w:val="32"/>
          <w:shd w:val="clear" w:color="auto" w:fill="FFFFFF"/>
        </w:rPr>
        <w:t>推进上海辰山国家植物园建设</w:t>
      </w:r>
      <w:r>
        <w:rPr>
          <w:rFonts w:hint="eastAsia" w:hAnsi="仿宋_GB2312" w:cs="仿宋_GB2312"/>
          <w:szCs w:val="32"/>
        </w:rPr>
        <w:t>。</w:t>
      </w:r>
    </w:p>
    <w:p>
      <w:pPr>
        <w:spacing w:line="600" w:lineRule="exact"/>
        <w:ind w:firstLine="643" w:firstLineChars="200"/>
        <w:rPr>
          <w:rFonts w:hAnsi="Segoe UI" w:cs="Segoe UI"/>
          <w:szCs w:val="32"/>
          <w:shd w:val="clear" w:color="auto" w:fill="FFFFFF"/>
        </w:rPr>
      </w:pPr>
      <w:r>
        <w:rPr>
          <w:rFonts w:hint="eastAsia" w:ascii="楷体_GB2312" w:hAnsi="黑体" w:eastAsia="楷体_GB2312" w:cs="Segoe UI"/>
          <w:b/>
          <w:bCs/>
        </w:rPr>
        <w:t>2.加快建设环城生态公园带。</w:t>
      </w:r>
      <w:r>
        <w:rPr>
          <w:rFonts w:hint="eastAsia" w:hAnsi="仿宋_GB2312" w:cs="仿宋_GB2312"/>
          <w:szCs w:val="32"/>
        </w:rPr>
        <w:t>“环上”会同市住房城乡建设管理委开展“一河一带”“十字象限”规划研究。因地制宜植入文体旅特色项目和活动，打造活力消费场景。推进“环上”公园用地整改工作。“环内”完成三岔港楔形绿地专项规划批复并力争启动建设，持续推进三林、北蔡、大场楔形绿地建设。推进新槎浦等6处外环绿道断点贯通，实施环城生境营造10公顷示范点。</w:t>
      </w:r>
    </w:p>
    <w:p>
      <w:pPr>
        <w:spacing w:line="600" w:lineRule="exact"/>
        <w:ind w:firstLine="643" w:firstLineChars="200"/>
        <w:rPr>
          <w:rFonts w:hAnsi="仿宋_GB2312" w:cs="仿宋_GB2312"/>
          <w:szCs w:val="32"/>
        </w:rPr>
      </w:pPr>
      <w:r>
        <w:rPr>
          <w:rFonts w:hint="eastAsia" w:ascii="楷体_GB2312" w:hAnsi="黑体" w:eastAsia="楷体_GB2312" w:cs="Segoe UI"/>
          <w:b/>
          <w:bCs/>
        </w:rPr>
        <w:t>3.着力推动公园管理提质增效。</w:t>
      </w:r>
      <w:r>
        <w:rPr>
          <w:rFonts w:hint="eastAsia" w:hAnsi="仿宋_GB2312" w:cs="仿宋_GB2312"/>
          <w:szCs w:val="32"/>
        </w:rPr>
        <w:t>出台城市公园提质增效若干措施，</w:t>
      </w:r>
      <w:r>
        <w:rPr>
          <w:rFonts w:hint="eastAsia" w:hAnsi="仿宋_GB2312" w:cs="仿宋_GB2312"/>
          <w:bCs/>
          <w:szCs w:val="32"/>
        </w:rPr>
        <w:t>发布公园业态场景</w:t>
      </w:r>
      <w:r>
        <w:rPr>
          <w:rFonts w:hint="eastAsia" w:ascii="Arial" w:hAnsi="Arial" w:cs="Arial"/>
          <w:szCs w:val="32"/>
        </w:rPr>
        <w:t>负面清单</w:t>
      </w:r>
      <w:r>
        <w:rPr>
          <w:rFonts w:hint="eastAsia" w:hAnsi="仿宋_GB2312" w:cs="仿宋_GB2312"/>
          <w:szCs w:val="32"/>
        </w:rPr>
        <w:t>。落实新一轮市委民心工程，</w:t>
      </w:r>
      <w:r>
        <w:rPr>
          <w:rFonts w:hint="eastAsia" w:hAnsi="仿宋"/>
          <w:szCs w:val="32"/>
        </w:rPr>
        <w:t>拓展公园绿地户外体育场地设施，增加休闲游憩草地。</w:t>
      </w:r>
      <w:r>
        <w:rPr>
          <w:rFonts w:hint="eastAsia" w:hAnsi="仿宋_GB2312" w:cs="仿宋_GB2312"/>
          <w:szCs w:val="32"/>
        </w:rPr>
        <w:t>办好市政府为民办实事项目，新建改建40座口袋公园，打造20座儿童友好公园。着力推动我市两家动物园提质增效工作。发布</w:t>
      </w:r>
      <w:r>
        <w:rPr>
          <w:rFonts w:hint="eastAsia" w:hAnsi="华文中宋"/>
          <w:szCs w:val="32"/>
        </w:rPr>
        <w:t>《上海市重点乡土树种和地产草坪推荐名录（第一批）》。</w:t>
      </w:r>
    </w:p>
    <w:p>
      <w:pPr>
        <w:spacing w:line="600" w:lineRule="exact"/>
        <w:ind w:firstLine="643" w:firstLineChars="200"/>
        <w:rPr>
          <w:rFonts w:hAnsi="仿宋"/>
          <w:szCs w:val="32"/>
        </w:rPr>
      </w:pPr>
      <w:r>
        <w:rPr>
          <w:rFonts w:hint="eastAsia" w:ascii="楷体_GB2312" w:hAnsi="黑体" w:eastAsia="楷体_GB2312" w:cs="Segoe UI"/>
          <w:b/>
          <w:bCs/>
        </w:rPr>
        <w:t>4.强化公园绿地管理服务。</w:t>
      </w:r>
      <w:r>
        <w:rPr>
          <w:rFonts w:hint="eastAsia" w:hAnsi="仿宋_GB2312" w:cs="仿宋_GB2312"/>
          <w:szCs w:val="32"/>
        </w:rPr>
        <w:t>推进公园绿地更加包容开放、可感可及，持续加强公园和单位附属绿地开放后管理。开展全市公园养护成本预算绩效分析，并做好成果转化应用。深入探索推进公园绿地共建共治共享机制。</w:t>
      </w:r>
      <w:r>
        <w:rPr>
          <w:rFonts w:hint="eastAsia" w:hAnsi="仿宋"/>
          <w:szCs w:val="32"/>
        </w:rPr>
        <w:t>深入开展园林绿化工程领域招投标突出问题整治。</w:t>
      </w:r>
    </w:p>
    <w:p>
      <w:pPr>
        <w:pStyle w:val="9"/>
        <w:spacing w:after="0" w:line="600" w:lineRule="exact"/>
        <w:ind w:firstLine="640" w:firstLineChars="200"/>
        <w:rPr>
          <w:rStyle w:val="14"/>
          <w:rFonts w:ascii="黑体" w:hAnsi="黑体" w:eastAsia="黑体" w:cs="Segoe UI"/>
          <w:b w:val="0"/>
          <w:color w:val="0F1115"/>
          <w:sz w:val="32"/>
          <w:szCs w:val="32"/>
          <w:shd w:val="clear" w:color="auto" w:fill="FFFFFF"/>
        </w:rPr>
      </w:pPr>
      <w:r>
        <w:rPr>
          <w:rStyle w:val="14"/>
          <w:rFonts w:hint="eastAsia" w:ascii="黑体" w:hAnsi="黑体" w:eastAsia="黑体" w:cs="Segoe UI"/>
          <w:b w:val="0"/>
          <w:color w:val="0F1115"/>
          <w:sz w:val="32"/>
          <w:szCs w:val="32"/>
          <w:shd w:val="clear" w:color="auto" w:fill="FFFFFF"/>
        </w:rPr>
        <w:t>二、提高垃圾综合治理效能，打造高效治理上海模式</w:t>
      </w:r>
    </w:p>
    <w:p>
      <w:pPr>
        <w:spacing w:line="600" w:lineRule="exact"/>
        <w:ind w:firstLine="643" w:firstLineChars="200"/>
        <w:rPr>
          <w:rFonts w:hAnsi="仿宋_GB2312" w:cs="仿宋_GB2312"/>
          <w:szCs w:val="32"/>
        </w:rPr>
      </w:pPr>
      <w:r>
        <w:rPr>
          <w:rFonts w:hint="eastAsia" w:ascii="楷体_GB2312" w:hAnsi="黑体" w:eastAsia="楷体_GB2312" w:cs="Segoe UI"/>
          <w:b/>
          <w:bCs/>
          <w:color w:val="0F1115"/>
        </w:rPr>
        <w:t>5.推动生活垃圾分类提质增效。</w:t>
      </w:r>
      <w:r>
        <w:rPr>
          <w:rFonts w:hint="eastAsia" w:hAnsi="黑体" w:cs="Segoe UI"/>
          <w:bCs/>
          <w:color w:val="0F1115"/>
        </w:rPr>
        <w:t>制订实施生活垃圾分类提质增效三年行动计划，健全市分减联办定期统筹协调机制。因地制宜优化生活垃圾分类投放环境，健全垃圾厢房等投放设施长效维护机制，实施20个区域废物箱场景化布局。完善低价值可回收物和大件垃圾回收利用体系，稳定可回收物“点、站、场”回收体系，增设300个智能回收箱，探索市民碳普惠联动垃圾分类、发电产沼效益反哺源头分类的激励机制。深入开展生活垃圾清运扰民治理，建设</w:t>
      </w:r>
      <w:r>
        <w:rPr>
          <w:rFonts w:hAnsi="黑体" w:cs="Segoe UI"/>
          <w:bCs/>
          <w:color w:val="0F1115"/>
        </w:rPr>
        <w:t>200条智慧收运线路。</w:t>
      </w:r>
      <w:r>
        <w:rPr>
          <w:rFonts w:hint="eastAsia" w:hAnsi="黑体" w:cs="Segoe UI"/>
          <w:bCs/>
          <w:color w:val="0F1115"/>
        </w:rPr>
        <w:t>建立</w:t>
      </w:r>
      <w:r>
        <w:rPr>
          <w:rFonts w:hint="eastAsia" w:hAnsi="Times New Roman"/>
          <w:spacing w:val="6"/>
          <w:szCs w:val="32"/>
        </w:rPr>
        <w:t>湿垃圾品质监控系统追溯源头实效机制</w:t>
      </w:r>
      <w:bookmarkStart w:id="8" w:name="_GoBack"/>
      <w:bookmarkEnd w:id="8"/>
      <w:r>
        <w:rPr>
          <w:rFonts w:hint="eastAsia" w:hAnsi="Times New Roman"/>
          <w:spacing w:val="6"/>
          <w:szCs w:val="32"/>
        </w:rPr>
        <w:t>，</w:t>
      </w:r>
      <w:r>
        <w:rPr>
          <w:rFonts w:hint="eastAsia" w:hAnsi="黑体" w:cs="Segoe UI"/>
          <w:bCs/>
          <w:color w:val="0F1115"/>
        </w:rPr>
        <w:t>推动生活垃圾分类宣传动员常态化，提升志愿活动共建共治水平。</w:t>
      </w:r>
      <w:r>
        <w:rPr>
          <w:rFonts w:hint="eastAsia" w:hAnsi="仿宋_GB2312" w:cs="仿宋_GB2312"/>
          <w:szCs w:val="32"/>
        </w:rPr>
        <w:t>全面推进固废近零填埋，完成10个飞灰资源化项目</w:t>
      </w:r>
      <w:r>
        <w:rPr>
          <w:rFonts w:hint="eastAsia" w:hAnsi="Times New Roman"/>
          <w:spacing w:val="6"/>
          <w:szCs w:val="32"/>
        </w:rPr>
        <w:t>，江桥焚烧厂BOT协议到期后顺利移交，研究湿垃圾残渣资源化方向，</w:t>
      </w:r>
      <w:r>
        <w:rPr>
          <w:rFonts w:hint="eastAsia" w:hAnsi="仿宋_GB2312" w:cs="仿宋_GB2312"/>
          <w:szCs w:val="32"/>
        </w:rPr>
        <w:t>焚烧残渣资源化利用率力争达到90%，生活垃圾回收利用率达到45.3%，资源化利用率达到87%。</w:t>
      </w:r>
    </w:p>
    <w:p>
      <w:pPr>
        <w:spacing w:line="600" w:lineRule="exact"/>
        <w:ind w:firstLine="643" w:firstLineChars="200"/>
        <w:rPr>
          <w:rFonts w:hAnsi="Times New Roman"/>
          <w:spacing w:val="6"/>
          <w:szCs w:val="32"/>
        </w:rPr>
      </w:pPr>
      <w:r>
        <w:rPr>
          <w:rFonts w:hint="eastAsia" w:ascii="楷体_GB2312" w:hAnsi="黑体" w:eastAsia="楷体_GB2312" w:cs="Segoe UI"/>
          <w:b/>
          <w:bCs/>
        </w:rPr>
        <w:t>6.</w:t>
      </w:r>
      <w:r>
        <w:rPr>
          <w:rFonts w:hint="eastAsia" w:ascii="楷体_GB2312" w:hAnsi="楷体_GB2312" w:eastAsia="楷体_GB2312" w:cs="楷体_GB2312"/>
          <w:b/>
          <w:snapToGrid w:val="0"/>
          <w:szCs w:val="32"/>
        </w:rPr>
        <w:t>提升土方消纳</w:t>
      </w:r>
      <w:r>
        <w:rPr>
          <w:rFonts w:hint="eastAsia" w:ascii="楷体_GB2312" w:hAnsi="楷体_GB2312" w:eastAsia="楷体_GB2312" w:cs="楷体_GB2312"/>
          <w:b/>
          <w:bCs/>
          <w:szCs w:val="32"/>
        </w:rPr>
        <w:t>保障能力。</w:t>
      </w:r>
      <w:r>
        <w:rPr>
          <w:rFonts w:hint="eastAsia" w:hAnsi="仿宋_GB2312" w:cs="仿宋_GB2312"/>
          <w:szCs w:val="32"/>
        </w:rPr>
        <w:t>充分发挥土方消纳调度专班统筹协调作用，落实建设项目诉求征办机制。落实2026年度消纳能力建设计划，完成全市1.6亿吨土方消纳能力目标。推进建设宝山、闵行、嘉定、奉贤等区资源化利用设施。完成横沙新洲接卸码头改建，建设浦东新区、宝山等区转运码头。持续开展建筑垃圾专项整治，依托智能监管平台，抓牢“一出一进”环节，深化“五黑”专项打击行动，严厉打击违法违规处置行为。</w:t>
      </w:r>
    </w:p>
    <w:p>
      <w:pPr>
        <w:spacing w:line="600" w:lineRule="exact"/>
        <w:ind w:firstLine="643" w:firstLineChars="200"/>
        <w:rPr>
          <w:rFonts w:ascii="Times New Roman" w:hAnsi="仿宋_GB2312" w:eastAsia="宋体" w:cs="仿宋_GB2312"/>
          <w:sz w:val="21"/>
          <w:szCs w:val="32"/>
        </w:rPr>
      </w:pPr>
      <w:r>
        <w:rPr>
          <w:rFonts w:hint="eastAsia" w:ascii="楷体_GB2312" w:hAnsi="楷体_GB2312" w:eastAsia="楷体_GB2312" w:cs="楷体_GB2312"/>
          <w:b/>
          <w:snapToGrid w:val="0"/>
          <w:szCs w:val="32"/>
        </w:rPr>
        <w:t>7.完善装修垃圾清运便民体系。</w:t>
      </w:r>
      <w:r>
        <w:rPr>
          <w:rFonts w:hint="eastAsia" w:hAnsi="Times New Roman"/>
          <w:szCs w:val="32"/>
        </w:rPr>
        <w:t>推广装修垃圾收运新模式，新增300个以上住宅小区使用专用回收箱；建成区级线上清运预约系统，接入“随申办市民云”，提高市民满意度。压实各区属地责任，加强市属设施处置量调控，实现装修垃圾、拆除工程垃圾分拣残渣零填埋目标。</w:t>
      </w:r>
    </w:p>
    <w:p>
      <w:pPr>
        <w:pStyle w:val="9"/>
        <w:spacing w:after="0" w:line="600" w:lineRule="exact"/>
        <w:ind w:firstLine="640" w:firstLineChars="200"/>
        <w:rPr>
          <w:rStyle w:val="14"/>
          <w:rFonts w:ascii="黑体" w:hAnsi="黑体" w:eastAsia="黑体" w:cs="Segoe UI"/>
          <w:b w:val="0"/>
          <w:color w:val="0F1115"/>
          <w:sz w:val="32"/>
          <w:szCs w:val="32"/>
          <w:shd w:val="clear" w:color="auto" w:fill="FFFFFF"/>
        </w:rPr>
      </w:pPr>
      <w:r>
        <w:rPr>
          <w:rStyle w:val="14"/>
          <w:rFonts w:hint="eastAsia" w:ascii="黑体" w:hAnsi="黑体" w:eastAsia="黑体" w:cs="Segoe UI"/>
          <w:b w:val="0"/>
          <w:color w:val="0F1115"/>
          <w:sz w:val="32"/>
          <w:szCs w:val="32"/>
          <w:shd w:val="clear" w:color="auto" w:fill="FFFFFF"/>
        </w:rPr>
        <w:t>三、推深做实林长制，提升林湿资源管护质量</w:t>
      </w:r>
    </w:p>
    <w:p>
      <w:pPr>
        <w:spacing w:line="600" w:lineRule="exact"/>
        <w:ind w:firstLine="643" w:firstLineChars="200"/>
        <w:rPr>
          <w:rFonts w:hAnsi="Times New Roman" w:cs="宋体"/>
          <w:bCs/>
          <w:szCs w:val="32"/>
        </w:rPr>
      </w:pPr>
      <w:r>
        <w:rPr>
          <w:rFonts w:hint="eastAsia" w:ascii="楷体_GB2312" w:hAnsi="楷体_GB2312" w:eastAsia="楷体_GB2312" w:cs="楷体_GB2312"/>
          <w:b/>
          <w:snapToGrid w:val="0"/>
          <w:szCs w:val="32"/>
        </w:rPr>
        <w:t>8.全面协同破解“扩绿”瓶颈。</w:t>
      </w:r>
      <w:r>
        <w:rPr>
          <w:rFonts w:hint="eastAsia" w:hAnsi="Times New Roman" w:cs="宋体"/>
          <w:bCs/>
          <w:szCs w:val="32"/>
        </w:rPr>
        <w:t>会同市规划资源局编制《上海市耕地保护和国土绿化专项规划》，明确林地保护空间并纳入国土空间规划“一张图”实施监管。充分挖潜减量化、沿海沿江沿河沿路以及污染地块，实现有效“扩绿”。优化前期流程，提高造林项目审批效率。用好新一轮林业三年政策，聚焦造林品质提升，完善林地土壤全过程管控，将造林地形设计和土方资源利用相结合，优先选择乡土适生树种，构建多样化生境类型与景观空间，完成1.2万亩造林项目落地，稳步推进腾地和种植工作。研究制定保障性苗圃建设项目管理办法，推进保障性苗圃建设。</w:t>
      </w:r>
    </w:p>
    <w:p>
      <w:pPr>
        <w:spacing w:line="600" w:lineRule="exact"/>
        <w:ind w:firstLine="643" w:firstLineChars="200"/>
        <w:rPr>
          <w:rFonts w:cs="宋体"/>
          <w:bCs/>
          <w:szCs w:val="32"/>
        </w:rPr>
      </w:pPr>
      <w:r>
        <w:rPr>
          <w:rFonts w:hint="eastAsia" w:ascii="楷体_GB2312" w:hAnsi="仿宋_GB2312" w:eastAsia="楷体_GB2312" w:cs="仿宋_GB2312"/>
          <w:b/>
          <w:bCs/>
          <w:szCs w:val="32"/>
        </w:rPr>
        <w:t>9.全链创新拓宽“兴绿”路径</w:t>
      </w:r>
      <w:r>
        <w:rPr>
          <w:rFonts w:hint="eastAsia" w:ascii="楷体_GB2312" w:hAnsi="仿宋_GB2312" w:eastAsia="楷体_GB2312" w:cs="仿宋_GB2312"/>
          <w:b/>
          <w:szCs w:val="32"/>
        </w:rPr>
        <w:t>。</w:t>
      </w:r>
      <w:r>
        <w:rPr>
          <w:rFonts w:hint="eastAsia" w:hAnsi="仿宋_GB2312" w:cs="仿宋_GB2312"/>
          <w:szCs w:val="32"/>
        </w:rPr>
        <w:t>推进林权登记，</w:t>
      </w:r>
      <w:r>
        <w:rPr>
          <w:rFonts w:hint="eastAsia" w:cs="宋体"/>
          <w:bCs/>
          <w:szCs w:val="32"/>
        </w:rPr>
        <w:t>研究建立林权（林地经营权）管理与收益分配制度。编制《上海市森林可持续经营规划》，探索森林经营成效监测与评价机制。持续推进</w:t>
      </w:r>
      <w:r>
        <w:rPr>
          <w:rFonts w:cs="宋体"/>
          <w:bCs/>
          <w:szCs w:val="32"/>
        </w:rPr>
        <w:t>老港基地、青浦练塘</w:t>
      </w:r>
      <w:r>
        <w:rPr>
          <w:rFonts w:hint="eastAsia" w:cs="宋体"/>
          <w:bCs/>
          <w:szCs w:val="32"/>
        </w:rPr>
        <w:t>林地综合效能提升试点。开展林地复合利用工作，研究制定林下经济支持政策，开展林下经济试点，探索都市型林业规模化经营机制。研究制订林地配套施建设和小微设施建设政策。编制《上海市休闲森林公园和湿地公园空间布局规划》，推进40个休闲森林公园建设。</w:t>
      </w:r>
    </w:p>
    <w:p>
      <w:pPr>
        <w:spacing w:line="600" w:lineRule="exact"/>
        <w:ind w:firstLine="643" w:firstLineChars="200"/>
        <w:rPr>
          <w:rFonts w:hAnsi="Times New Roman" w:cs="宋体"/>
          <w:bCs/>
          <w:szCs w:val="32"/>
        </w:rPr>
      </w:pPr>
      <w:r>
        <w:rPr>
          <w:rFonts w:hint="eastAsia" w:ascii="楷体_GB2312" w:hAnsi="仿宋_GB2312" w:eastAsia="楷体_GB2312" w:cs="仿宋_GB2312"/>
          <w:b/>
          <w:bCs/>
          <w:szCs w:val="32"/>
        </w:rPr>
        <w:t>10.全程赋能夯实“护绿”根基。</w:t>
      </w:r>
      <w:r>
        <w:rPr>
          <w:rFonts w:hAnsi="Times New Roman" w:cs="宋体"/>
          <w:bCs/>
          <w:szCs w:val="32"/>
        </w:rPr>
        <w:t>制定深化完善林长制制度体系、推动林业高质量发展的意见，</w:t>
      </w:r>
      <w:r>
        <w:rPr>
          <w:rFonts w:hAnsi="Times New Roman" w:cs="宋体"/>
          <w:szCs w:val="32"/>
        </w:rPr>
        <w:t>压紧压实各级林长责任。</w:t>
      </w:r>
      <w:r>
        <w:rPr>
          <w:rFonts w:hint="eastAsia" w:hAnsi="仿宋_GB2312" w:cs="仿宋_GB2312"/>
          <w:szCs w:val="32"/>
        </w:rPr>
        <w:t>有序推进第一批和第二批公益林划定，完善商品林管理制度。加快完成</w:t>
      </w:r>
      <w:r>
        <w:rPr>
          <w:rFonts w:hint="eastAsia" w:hAnsi="Times New Roman" w:cs="仿宋_GB2312"/>
          <w:szCs w:val="32"/>
        </w:rPr>
        <w:t>区级</w:t>
      </w:r>
      <w:r>
        <w:rPr>
          <w:rFonts w:hint="eastAsia" w:hAnsi="仿宋_GB2312" w:cs="仿宋_GB2312"/>
          <w:szCs w:val="32"/>
        </w:rPr>
        <w:t>林地保护利用规划编制，启动林木种质资源保护与利用中长期规划编制。研究制定林木采伐管理办法。持续推进林业“一张图”建设，开展资源监测、审批许可等数据标准化处理。细化本市全域智慧林业建设方案，优化“天空地”一体化监测网络建设。开展火灾隐患排查整治专项行动和“林电共安”三年攻坚行动。持续推进重大林业有害生物防控，优化测报和检疫执法体系建设。</w:t>
      </w:r>
    </w:p>
    <w:p>
      <w:pPr>
        <w:pStyle w:val="9"/>
        <w:spacing w:after="0" w:line="600" w:lineRule="exact"/>
        <w:ind w:firstLine="643" w:firstLineChars="200"/>
        <w:rPr>
          <w:rFonts w:ascii="仿宋_GB2312" w:hAnsi="仿宋_GB2312" w:eastAsia="仿宋_GB2312" w:cs="仿宋_GB2312"/>
          <w:sz w:val="32"/>
          <w:szCs w:val="32"/>
        </w:rPr>
      </w:pPr>
      <w:r>
        <w:rPr>
          <w:rStyle w:val="14"/>
          <w:rFonts w:hint="eastAsia" w:ascii="楷体_GB2312" w:hAnsi="黑体" w:eastAsia="楷体_GB2312" w:cs="Segoe UI"/>
          <w:color w:val="0F1115"/>
          <w:sz w:val="32"/>
          <w:szCs w:val="32"/>
          <w:shd w:val="clear" w:color="auto" w:fill="FFFFFF"/>
        </w:rPr>
        <w:t>11.强化自然保护地与湿地高质量发展。</w:t>
      </w:r>
      <w:r>
        <w:rPr>
          <w:rFonts w:hint="eastAsia" w:ascii="仿宋_GB2312" w:hAnsi="华文中宋" w:eastAsia="仿宋_GB2312"/>
          <w:sz w:val="32"/>
          <w:szCs w:val="32"/>
        </w:rPr>
        <w:t>推进自然保护地整合优化和实施工作，研究修订保护区管理办法。持续推进崇明东滩候鸟栖息地世界自然遗产保护、传承、利用和宣传。启动新一轮野生动物栖息地建设中长期规划编制和野生动物栖息地项目实施。宣贯实施《上海市湿地保护规划（2026-2035年）》，出台重要湿地和一般湿地占用管理政策。全力</w:t>
      </w:r>
      <w:r>
        <w:rPr>
          <w:rFonts w:hint="eastAsia" w:ascii="仿宋_GB2312" w:eastAsia="仿宋_GB2312"/>
          <w:sz w:val="32"/>
          <w:szCs w:val="32"/>
        </w:rPr>
        <w:t>推进崇明北湖生态修复工程年内开工。持续巩固互花米草治理成效</w:t>
      </w:r>
      <w:r>
        <w:rPr>
          <w:rFonts w:hint="eastAsia" w:ascii="仿宋_GB2312" w:hAnsi="黑体" w:eastAsia="仿宋_GB2312" w:cs="黑体"/>
          <w:bCs/>
          <w:sz w:val="32"/>
          <w:szCs w:val="32"/>
        </w:rPr>
        <w:t>，</w:t>
      </w:r>
      <w:r>
        <w:rPr>
          <w:rFonts w:hint="eastAsia" w:ascii="仿宋_GB2312" w:hAnsi="黑体" w:eastAsia="仿宋_GB2312" w:cs="黑体"/>
          <w:sz w:val="32"/>
          <w:szCs w:val="32"/>
        </w:rPr>
        <w:t>除治</w:t>
      </w:r>
      <w:r>
        <w:rPr>
          <w:rFonts w:hint="eastAsia" w:ascii="仿宋_GB2312" w:hAnsi="仿宋_GB2312" w:eastAsia="仿宋_GB2312" w:cs="仿宋_GB2312"/>
          <w:sz w:val="32"/>
          <w:szCs w:val="32"/>
        </w:rPr>
        <w:t>新、复发斑块</w:t>
      </w:r>
      <w:r>
        <w:rPr>
          <w:rFonts w:hint="eastAsia" w:ascii="仿宋_GB2312" w:hAnsi="黑体" w:eastAsia="仿宋_GB2312" w:cs="黑体"/>
          <w:sz w:val="32"/>
          <w:szCs w:val="32"/>
        </w:rPr>
        <w:t>。</w:t>
      </w:r>
      <w:r>
        <w:rPr>
          <w:rFonts w:ascii="仿宋_GB2312" w:hAnsi="黑体" w:eastAsia="仿宋_GB2312" w:cs="黑体"/>
          <w:bCs/>
          <w:sz w:val="32"/>
          <w:szCs w:val="32"/>
        </w:rPr>
        <w:t>因地制宜</w:t>
      </w:r>
      <w:r>
        <w:rPr>
          <w:rFonts w:hint="eastAsia" w:ascii="仿宋_GB2312" w:hAnsi="黑体" w:eastAsia="仿宋_GB2312" w:cs="黑体"/>
          <w:bCs/>
          <w:sz w:val="32"/>
          <w:szCs w:val="32"/>
        </w:rPr>
        <w:t>推进湿地植被群落营建提升</w:t>
      </w:r>
      <w:r>
        <w:rPr>
          <w:rFonts w:hint="eastAsia" w:ascii="仿宋_GB2312" w:hAnsi="仿宋_GB2312" w:eastAsia="仿宋_GB2312" w:cs="仿宋_GB2312"/>
          <w:sz w:val="32"/>
          <w:szCs w:val="32"/>
        </w:rPr>
        <w:t>。</w:t>
      </w:r>
    </w:p>
    <w:p>
      <w:pPr>
        <w:pStyle w:val="9"/>
        <w:spacing w:after="0" w:line="600" w:lineRule="exact"/>
        <w:ind w:firstLine="643" w:firstLineChars="200"/>
        <w:rPr>
          <w:rStyle w:val="14"/>
          <w:rFonts w:ascii="仿宋_GB2312" w:hAnsi="黑体" w:eastAsia="仿宋_GB2312" w:cs="Segoe UI"/>
          <w:color w:val="0F1115"/>
          <w:sz w:val="32"/>
          <w:szCs w:val="32"/>
          <w:shd w:val="clear" w:color="auto" w:fill="FFFFFF"/>
        </w:rPr>
      </w:pPr>
      <w:r>
        <w:rPr>
          <w:rStyle w:val="14"/>
          <w:rFonts w:hint="eastAsia" w:ascii="楷体_GB2312" w:hAnsi="黑体" w:eastAsia="楷体_GB2312" w:cs="Segoe UI"/>
          <w:color w:val="0F1115"/>
          <w:sz w:val="32"/>
          <w:szCs w:val="32"/>
          <w:shd w:val="clear" w:color="auto" w:fill="FFFFFF"/>
        </w:rPr>
        <w:t>12.深入推进野生动植物保护行动。</w:t>
      </w:r>
      <w:r>
        <w:rPr>
          <w:rFonts w:hint="eastAsia" w:ascii="仿宋_GB2312" w:hAnsi="华文中宋" w:eastAsia="仿宋_GB2312"/>
          <w:sz w:val="32"/>
          <w:szCs w:val="32"/>
        </w:rPr>
        <w:t>持续开展保护鸟类专项行动，推动防鸟网备案制度落地。深入开展野生动植物科普宣传和野生动物致害补偿保险试点工作。推进基层野生动物收容救护规范化建设和外来物种海狸鼠防控，做好野生动物疫源疫病监测防控。</w:t>
      </w:r>
    </w:p>
    <w:p>
      <w:pPr>
        <w:pStyle w:val="9"/>
        <w:spacing w:after="0" w:line="600" w:lineRule="exact"/>
        <w:ind w:firstLine="643" w:firstLineChars="200"/>
        <w:rPr>
          <w:rStyle w:val="14"/>
          <w:rFonts w:ascii="仿宋_GB2312" w:hAnsi="黑体" w:eastAsia="仿宋_GB2312" w:cs="Segoe UI"/>
          <w:color w:val="0F1115"/>
          <w:sz w:val="32"/>
          <w:szCs w:val="32"/>
          <w:shd w:val="clear" w:color="auto" w:fill="FFFFFF"/>
        </w:rPr>
      </w:pPr>
      <w:r>
        <w:rPr>
          <w:rStyle w:val="14"/>
          <w:rFonts w:hint="eastAsia" w:ascii="楷体_GB2312" w:hAnsi="黑体" w:eastAsia="楷体_GB2312" w:cs="Segoe UI"/>
          <w:color w:val="0F1115"/>
          <w:sz w:val="32"/>
          <w:szCs w:val="32"/>
          <w:shd w:val="clear" w:color="auto" w:fill="FFFFFF"/>
        </w:rPr>
        <w:t>13.加强林业行政执法。</w:t>
      </w:r>
      <w:r>
        <w:rPr>
          <w:rFonts w:hint="eastAsia" w:ascii="仿宋_GB2312" w:eastAsia="仿宋_GB2312"/>
          <w:bCs/>
          <w:sz w:val="32"/>
          <w:szCs w:val="32"/>
        </w:rPr>
        <w:t>常态化开展打击毁林专项行动，聚焦非法堆放渣土毁林、擅自改变林地用途等突出问题，形成打击震慑。依托“打击非法捕猎贩卖鸟类”“清风”“网盾”等专项行动，深化多部门联合执法，严厉打击非法猎捕、交易、运输野生动植物及其制品等违法行为。建立长三角林业执法协作机制，联合出台长三角林业领域高频行政处罚事项裁量权基准。开展全市林业执法能力提升行动。</w:t>
      </w:r>
    </w:p>
    <w:p>
      <w:pPr>
        <w:pStyle w:val="9"/>
        <w:spacing w:after="0" w:line="600" w:lineRule="exact"/>
        <w:ind w:firstLine="640" w:firstLineChars="200"/>
        <w:rPr>
          <w:rStyle w:val="14"/>
          <w:rFonts w:ascii="黑体" w:hAnsi="黑体" w:eastAsia="黑体" w:cs="Segoe UI"/>
          <w:b w:val="0"/>
          <w:color w:val="0F1115"/>
          <w:sz w:val="32"/>
          <w:szCs w:val="32"/>
          <w:shd w:val="clear" w:color="auto" w:fill="FFFFFF"/>
        </w:rPr>
      </w:pPr>
      <w:r>
        <w:rPr>
          <w:rStyle w:val="14"/>
          <w:rFonts w:hint="eastAsia" w:ascii="黑体" w:hAnsi="黑体" w:eastAsia="黑体" w:cs="Segoe UI"/>
          <w:b w:val="0"/>
          <w:color w:val="0F1115"/>
          <w:sz w:val="32"/>
          <w:szCs w:val="32"/>
          <w:shd w:val="clear" w:color="auto" w:fill="FFFFFF"/>
        </w:rPr>
        <w:t>四、优化市容环境品质，提升景观照明管理</w:t>
      </w:r>
    </w:p>
    <w:p>
      <w:pPr>
        <w:spacing w:line="600" w:lineRule="exact"/>
        <w:ind w:firstLine="643" w:firstLineChars="200"/>
        <w:rPr>
          <w:rFonts w:ascii="Times New Roman" w:hAnsi="Times New Roman"/>
          <w:szCs w:val="32"/>
        </w:rPr>
      </w:pPr>
      <w:bookmarkStart w:id="2" w:name="OLE_LINK1"/>
      <w:bookmarkStart w:id="3" w:name="OLE_LINK2"/>
      <w:r>
        <w:rPr>
          <w:rStyle w:val="14"/>
          <w:rFonts w:hint="eastAsia" w:ascii="楷体_GB2312" w:hAnsi="黑体" w:eastAsia="楷体_GB2312" w:cs="Segoe UI"/>
          <w:bCs w:val="0"/>
          <w:color w:val="0F1115"/>
          <w:szCs w:val="32"/>
          <w:shd w:val="clear" w:color="auto" w:fill="FFFFFF"/>
        </w:rPr>
        <w:t>14.深入推进“美丽街区”建设。</w:t>
      </w:r>
      <w:r>
        <w:rPr>
          <w:rFonts w:hint="eastAsia" w:hAnsi="Times New Roman"/>
        </w:rPr>
        <w:t>研究新一轮“美丽街区”建设行动方案。</w:t>
      </w:r>
      <w:r>
        <w:rPr>
          <w:rFonts w:hint="eastAsia" w:hAnsi="Times New Roman"/>
          <w:szCs w:val="32"/>
        </w:rPr>
        <w:t>提升建设50个“美丽街区”。新增1000套公共空间休憩座椅。宽严相济提升设摊治理水平，依法严禁无序设摊，因地制宜推动“管控点、疏导点、特色点”三类设摊区域建设，优化外摆位规范设置，</w:t>
      </w:r>
      <w:r>
        <w:rPr>
          <w:rFonts w:hint="eastAsia" w:hAnsi="Times New Roman"/>
          <w:kern w:val="0"/>
          <w:szCs w:val="32"/>
        </w:rPr>
        <w:t>探索培育20个特色市集</w:t>
      </w:r>
      <w:r>
        <w:rPr>
          <w:rFonts w:hint="eastAsia" w:hAnsi="Times New Roman"/>
          <w:szCs w:val="32"/>
        </w:rPr>
        <w:t>。</w:t>
      </w:r>
    </w:p>
    <w:p>
      <w:pPr>
        <w:spacing w:line="600" w:lineRule="exact"/>
        <w:ind w:firstLine="643" w:firstLineChars="200"/>
        <w:rPr>
          <w:rStyle w:val="14"/>
          <w:rFonts w:ascii="楷体_GB2312" w:hAnsi="黑体" w:eastAsia="楷体_GB2312" w:cs="Segoe UI"/>
          <w:color w:val="0F1115"/>
          <w:szCs w:val="32"/>
          <w:shd w:val="clear" w:color="auto" w:fill="FFFFFF"/>
        </w:rPr>
      </w:pPr>
      <w:r>
        <w:rPr>
          <w:rFonts w:hint="eastAsia" w:ascii="楷体_GB2312" w:hAnsi="Times New Roman" w:eastAsia="楷体_GB2312"/>
          <w:b/>
          <w:bCs/>
          <w:kern w:val="0"/>
          <w:szCs w:val="32"/>
        </w:rPr>
        <w:t>15.强化市容环境保障。</w:t>
      </w:r>
      <w:r>
        <w:rPr>
          <w:rFonts w:hint="eastAsia" w:ascii="Times New Roman" w:hAnsi="Times New Roman"/>
          <w:szCs w:val="32"/>
        </w:rPr>
        <w:t>做好</w:t>
      </w:r>
      <w:r>
        <w:rPr>
          <w:rFonts w:ascii="Times New Roman" w:hAnsi="Times New Roman"/>
          <w:szCs w:val="32"/>
        </w:rPr>
        <w:t>第九届进</w:t>
      </w:r>
      <w:r>
        <w:rPr>
          <w:rFonts w:ascii="Times New Roman" w:hAnsi="Times New Roman"/>
          <w:kern w:val="0"/>
          <w:szCs w:val="32"/>
        </w:rPr>
        <w:t>博会、世界技能大赛等重</w:t>
      </w:r>
      <w:r>
        <w:rPr>
          <w:rFonts w:hint="eastAsia" w:ascii="Times New Roman" w:hAnsi="Times New Roman"/>
          <w:kern w:val="0"/>
          <w:szCs w:val="32"/>
        </w:rPr>
        <w:t>要</w:t>
      </w:r>
      <w:r>
        <w:rPr>
          <w:rFonts w:ascii="Times New Roman" w:hAnsi="Times New Roman"/>
          <w:kern w:val="0"/>
          <w:szCs w:val="32"/>
        </w:rPr>
        <w:t>活动</w:t>
      </w:r>
      <w:r>
        <w:rPr>
          <w:rFonts w:hint="eastAsia" w:ascii="Times New Roman" w:hAnsi="Times New Roman"/>
          <w:kern w:val="0"/>
          <w:szCs w:val="32"/>
        </w:rPr>
        <w:t>、重大节日市容环境保障。扎实推进“全域门责”，持续开展责任区自律自治组织培育。推进市容环境薄弱区域治理，狠抓“小广告”综合整治。开展</w:t>
      </w:r>
      <w:r>
        <w:rPr>
          <w:rFonts w:ascii="Times New Roman" w:hAnsi="Times New Roman"/>
          <w:szCs w:val="32"/>
        </w:rPr>
        <w:t>市容环境质量市民评价</w:t>
      </w:r>
      <w:r>
        <w:rPr>
          <w:rFonts w:hint="eastAsia" w:ascii="Times New Roman" w:hAnsi="Times New Roman"/>
          <w:szCs w:val="32"/>
        </w:rPr>
        <w:t>。</w:t>
      </w:r>
      <w:r>
        <w:rPr>
          <w:rFonts w:hint="eastAsia" w:hAnsi="仿宋_GB2312" w:cs="仿宋_GB2312"/>
          <w:szCs w:val="32"/>
        </w:rPr>
        <w:t>巩固提升高标准保洁区域建设实效，辐射小微空间、背街小巷环境。</w:t>
      </w:r>
      <w:r>
        <w:rPr>
          <w:rFonts w:hAnsi="仿宋_GB2312" w:cs="仿宋_GB2312"/>
          <w:szCs w:val="32"/>
        </w:rPr>
        <w:t>深化</w:t>
      </w:r>
      <w:r>
        <w:rPr>
          <w:rFonts w:hint="eastAsia" w:hAnsi="仿宋_GB2312" w:cs="仿宋_GB2312"/>
          <w:szCs w:val="32"/>
        </w:rPr>
        <w:t>市管水域保洁与干流水生植物整治，深化长三角协同治理机制。巩固环卫公厕适老化适幼化改造、24小时开放成果，探索深度保洁、夜间无人保洁等新模式，优化公厕导向标志设置以及“智慧寻厕”小程序。鼓励社会厕所共享开放</w:t>
      </w:r>
      <w:r>
        <w:rPr>
          <w:rFonts w:hAnsi="仿宋_GB2312" w:cs="仿宋_GB2312"/>
          <w:szCs w:val="32"/>
        </w:rPr>
        <w:t>。</w:t>
      </w:r>
    </w:p>
    <w:p>
      <w:pPr>
        <w:spacing w:line="600" w:lineRule="exact"/>
        <w:ind w:firstLine="643" w:firstLineChars="200"/>
        <w:rPr>
          <w:rStyle w:val="14"/>
          <w:rFonts w:ascii="楷体_GB2312" w:hAnsi="黑体" w:eastAsia="楷体_GB2312" w:cs="Segoe UI"/>
          <w:color w:val="0F1115"/>
          <w:szCs w:val="32"/>
          <w:shd w:val="clear" w:color="auto" w:fill="FFFFFF"/>
        </w:rPr>
      </w:pPr>
      <w:r>
        <w:rPr>
          <w:rStyle w:val="14"/>
          <w:rFonts w:hint="eastAsia" w:ascii="楷体_GB2312" w:hAnsi="黑体" w:eastAsia="楷体_GB2312" w:cs="Segoe UI"/>
          <w:color w:val="0F1115"/>
          <w:szCs w:val="32"/>
          <w:shd w:val="clear" w:color="auto" w:fill="FFFFFF"/>
        </w:rPr>
        <w:t>16.提升景观照明品质。</w:t>
      </w:r>
      <w:r>
        <w:rPr>
          <w:rFonts w:hint="eastAsia" w:hAnsi="仿宋_GB2312" w:cs="仿宋_GB2312"/>
          <w:bCs/>
        </w:rPr>
        <w:t>办好第三届上海国际光影节。开展“一江一河”景观照明成效评估和提升策略研究，推动重要商圈、景观道路等区域约260栋建筑景观照明提升改造，建成徐家汇中心等重要单体建筑景观照明。制定景观照明建设工程全过程管控制度。完善景观照明集中控制管理标准。强化景观照明智能化水平。高水平做好重要活动、重大节日等景观照明保障。</w:t>
      </w:r>
    </w:p>
    <w:p>
      <w:pPr>
        <w:spacing w:line="600" w:lineRule="exact"/>
        <w:ind w:firstLine="643" w:firstLineChars="200"/>
        <w:rPr>
          <w:rStyle w:val="14"/>
          <w:rFonts w:ascii="楷体_GB2312" w:hAnsi="黑体" w:eastAsia="楷体_GB2312" w:cs="Segoe UI"/>
          <w:color w:val="0F1115"/>
          <w:szCs w:val="32"/>
          <w:shd w:val="clear" w:color="auto" w:fill="FFFFFF"/>
        </w:rPr>
      </w:pPr>
      <w:r>
        <w:rPr>
          <w:rStyle w:val="14"/>
          <w:rFonts w:hint="eastAsia" w:ascii="楷体_GB2312" w:hAnsi="黑体" w:eastAsia="楷体_GB2312" w:cs="Segoe UI"/>
          <w:color w:val="0F1115"/>
          <w:szCs w:val="32"/>
          <w:shd w:val="clear" w:color="auto" w:fill="FFFFFF"/>
        </w:rPr>
        <w:t>17.优化户外设施管理质量。</w:t>
      </w:r>
      <w:r>
        <w:rPr>
          <w:rFonts w:hint="eastAsia" w:hAnsi="仿宋_GB2312" w:cs="仿宋_GB2312"/>
          <w:bCs/>
        </w:rPr>
        <w:t>研究制定</w:t>
      </w:r>
      <w:r>
        <w:rPr>
          <w:rFonts w:hint="eastAsia" w:hAnsi="仿宋_GB2312" w:cs="仿宋_GB2312"/>
        </w:rPr>
        <w:t>支持建设工地围挡合理设置户外广告相关政策，修订《上海市临时性户外广告设施管理办法》，做好重大活动高架道旗临时广告协调工作，研究制定户外广告设施公共阵地管理制度。建立户外招牌质量监管标准和各阶段监管制度，做好结构性户外招牌定期检测，全年完成约8000处连体招牌类隐患设施整改。户外广告、招牌审批备案率分别保持在95%、88%以上。</w:t>
      </w:r>
    </w:p>
    <w:bookmarkEnd w:id="2"/>
    <w:bookmarkEnd w:id="3"/>
    <w:p>
      <w:pPr>
        <w:pStyle w:val="9"/>
        <w:spacing w:after="0" w:line="600" w:lineRule="exact"/>
        <w:ind w:firstLine="640" w:firstLineChars="200"/>
        <w:rPr>
          <w:rStyle w:val="14"/>
          <w:rFonts w:ascii="黑体" w:hAnsi="黑体" w:eastAsia="黑体" w:cs="Segoe UI"/>
          <w:b w:val="0"/>
          <w:color w:val="0F1115"/>
          <w:sz w:val="32"/>
          <w:szCs w:val="32"/>
          <w:shd w:val="clear" w:color="auto" w:fill="FFFFFF"/>
        </w:rPr>
      </w:pPr>
      <w:r>
        <w:rPr>
          <w:rStyle w:val="14"/>
          <w:rFonts w:hint="eastAsia" w:ascii="黑体" w:hAnsi="黑体" w:eastAsia="黑体" w:cs="Segoe UI"/>
          <w:b w:val="0"/>
          <w:color w:val="0F1115"/>
          <w:sz w:val="32"/>
          <w:szCs w:val="32"/>
          <w:shd w:val="clear" w:color="auto" w:fill="FFFFFF"/>
        </w:rPr>
        <w:t>五、强化基础支撑保障，助推行业高质量发展</w:t>
      </w:r>
    </w:p>
    <w:p>
      <w:pPr>
        <w:pStyle w:val="19"/>
        <w:adjustRightInd w:val="0"/>
        <w:snapToGrid w:val="0"/>
        <w:ind w:firstLine="643"/>
        <w:rPr>
          <w:rStyle w:val="14"/>
          <w:rFonts w:ascii="楷体_GB2312" w:hAnsi="黑体" w:eastAsia="楷体_GB2312" w:cs="Segoe UI"/>
          <w:color w:val="0F1115"/>
          <w:szCs w:val="32"/>
          <w:shd w:val="clear" w:color="auto" w:fill="FFFFFF"/>
        </w:rPr>
      </w:pPr>
      <w:r>
        <w:rPr>
          <w:rStyle w:val="14"/>
          <w:rFonts w:hint="eastAsia" w:ascii="楷体_GB2312" w:hAnsi="黑体" w:eastAsia="楷体_GB2312" w:cs="Segoe UI"/>
          <w:color w:val="0F1115"/>
          <w:szCs w:val="32"/>
          <w:shd w:val="clear" w:color="auto" w:fill="FFFFFF"/>
        </w:rPr>
        <w:t>18.夯实行业法治基础保障体系。</w:t>
      </w:r>
      <w:r>
        <w:rPr>
          <w:rFonts w:hint="eastAsia"/>
          <w:szCs w:val="32"/>
        </w:rPr>
        <w:t>推进公园管理条例修订，组织开展湿地保护条例、绿化条例、古树名木保护条例、生活垃圾管理条例、建筑垃圾管理的立法（修改）调研与草案起草工作。做实做细行业政策解读，深化“处长讲政策”平台。建立健全绿化市容领域损害赔偿全流程工作机制。深化涉企行政检查全流程管理。</w:t>
      </w:r>
    </w:p>
    <w:p>
      <w:pPr>
        <w:pStyle w:val="9"/>
        <w:spacing w:after="0" w:line="600" w:lineRule="exact"/>
        <w:ind w:firstLine="643" w:firstLineChars="200"/>
        <w:rPr>
          <w:bCs/>
          <w:color w:val="000000"/>
          <w:szCs w:val="32"/>
        </w:rPr>
      </w:pPr>
      <w:r>
        <w:rPr>
          <w:rStyle w:val="14"/>
          <w:rFonts w:hint="eastAsia" w:ascii="楷体_GB2312" w:hAnsi="黑体" w:eastAsia="楷体_GB2312" w:cs="Segoe UI"/>
          <w:color w:val="0F1115"/>
          <w:sz w:val="32"/>
          <w:szCs w:val="32"/>
          <w:shd w:val="clear" w:color="auto" w:fill="FFFFFF"/>
        </w:rPr>
        <w:t>19.推动行业“十五五”规划编审与实施。</w:t>
      </w:r>
      <w:r>
        <w:rPr>
          <w:rFonts w:hint="eastAsia" w:ascii="仿宋_GB2312" w:hAnsi="华文中宋" w:eastAsia="仿宋_GB2312" w:cstheme="minorBidi"/>
          <w:sz w:val="32"/>
          <w:szCs w:val="32"/>
        </w:rPr>
        <w:t>完成《上海市绿化和市容环境建设“十五五”规划》报批及发布工作。推进行业分专项规划及直属单位规划编制，形成科学完备的行业规划体系。开展行业“十五五”发展规划宣贯培训，系统解读规划目标、重点任务和实施路径。强化规划引领作用，推进年度重点任务落实和“十五五”期间行业重大建设项目落地实施，并加强规划实施监督。</w:t>
      </w:r>
    </w:p>
    <w:p>
      <w:pPr>
        <w:pStyle w:val="9"/>
        <w:spacing w:after="0" w:line="600" w:lineRule="exact"/>
        <w:ind w:firstLine="643" w:firstLineChars="200"/>
        <w:rPr>
          <w:rFonts w:hAnsi="华文中宋" w:cstheme="minorBidi"/>
          <w:szCs w:val="32"/>
        </w:rPr>
      </w:pPr>
      <w:r>
        <w:rPr>
          <w:rStyle w:val="14"/>
          <w:rFonts w:hint="eastAsia" w:ascii="楷体_GB2312" w:hAnsi="黑体" w:eastAsia="楷体_GB2312" w:cs="Segoe UI"/>
          <w:color w:val="0F1115"/>
          <w:sz w:val="32"/>
          <w:szCs w:val="32"/>
          <w:shd w:val="clear" w:color="auto" w:fill="FFFFFF"/>
        </w:rPr>
        <w:t>20.持续优化营商环境。</w:t>
      </w:r>
      <w:r>
        <w:rPr>
          <w:rFonts w:hint="eastAsia" w:ascii="仿宋_GB2312" w:hAnsi="华文中宋" w:eastAsia="仿宋_GB2312" w:cstheme="minorBidi"/>
          <w:sz w:val="32"/>
          <w:szCs w:val="32"/>
        </w:rPr>
        <w:t>深化“三减一提”专项行动，加快“高效办成一件事”，推进“建设工程垃圾处理一件事”，优化提升绿林要素保障。全面拓展“免申即享”“即申即办”，打造政务服务智能场景，做好惠企政策全流程服务，推进信用结果运用。激发街区活力，提升城市“烟火气”。健全基层需求征办解决机制。</w:t>
      </w:r>
    </w:p>
    <w:p>
      <w:pPr>
        <w:pStyle w:val="9"/>
        <w:spacing w:after="0" w:line="600" w:lineRule="exact"/>
        <w:ind w:firstLine="643" w:firstLineChars="200"/>
        <w:rPr>
          <w:rStyle w:val="14"/>
          <w:rFonts w:ascii="楷体_GB2312" w:hAnsi="黑体" w:eastAsia="楷体_GB2312" w:cs="Segoe UI"/>
          <w:color w:val="0F1115"/>
          <w:sz w:val="32"/>
          <w:szCs w:val="32"/>
          <w:shd w:val="clear" w:color="auto" w:fill="FFFFFF"/>
        </w:rPr>
      </w:pPr>
      <w:r>
        <w:rPr>
          <w:rStyle w:val="14"/>
          <w:rFonts w:hint="eastAsia" w:ascii="楷体_GB2312" w:hAnsi="黑体" w:eastAsia="楷体_GB2312" w:cs="Segoe UI"/>
          <w:color w:val="0F1115"/>
          <w:sz w:val="32"/>
          <w:szCs w:val="32"/>
          <w:shd w:val="clear" w:color="auto" w:fill="FFFFFF"/>
        </w:rPr>
        <w:t>21.加快行业科技创新步伐。</w:t>
      </w:r>
      <w:r>
        <w:rPr>
          <w:rFonts w:hint="eastAsia" w:ascii="仿宋_GB2312" w:hAnsi="仿宋_GB2312" w:eastAsia="仿宋_GB2312" w:cs="仿宋_GB2312"/>
          <w:sz w:val="32"/>
          <w:szCs w:val="32"/>
        </w:rPr>
        <w:t>推进本年度科技攻关及战略咨询课题项目实施，完成2027年度科研项目指南发布。强化9个科研平台对局重点工作的科技支撑作用，力争完成1000万以上高价值科研成果转化。完成300辆以上环卫车辆新能源替代。</w:t>
      </w:r>
    </w:p>
    <w:p>
      <w:pPr>
        <w:pStyle w:val="9"/>
        <w:spacing w:after="0" w:line="600" w:lineRule="exact"/>
        <w:ind w:firstLine="643" w:firstLineChars="200"/>
        <w:rPr>
          <w:rStyle w:val="14"/>
          <w:rFonts w:ascii="楷体_GB2312" w:hAnsi="黑体" w:eastAsia="楷体_GB2312" w:cs="Segoe UI"/>
          <w:color w:val="0F1115"/>
          <w:sz w:val="32"/>
          <w:szCs w:val="32"/>
          <w:shd w:val="clear" w:color="auto" w:fill="FFFFFF"/>
        </w:rPr>
      </w:pPr>
      <w:r>
        <w:rPr>
          <w:rStyle w:val="14"/>
          <w:rFonts w:hint="eastAsia" w:ascii="楷体_GB2312" w:hAnsi="黑体" w:eastAsia="楷体_GB2312" w:cs="Segoe UI"/>
          <w:color w:val="0F1115"/>
          <w:sz w:val="32"/>
          <w:szCs w:val="32"/>
          <w:shd w:val="clear" w:color="auto" w:fill="FFFFFF"/>
        </w:rPr>
        <w:t>22.推进行业数字化转型升级。</w:t>
      </w:r>
      <w:r>
        <w:rPr>
          <w:rFonts w:hint="eastAsia" w:ascii="仿宋_GB2312" w:hAnsi="仿宋_GB2312" w:eastAsia="仿宋_GB2312" w:cs="仿宋_GB2312"/>
          <w:color w:val="0F1115"/>
          <w:kern w:val="0"/>
          <w:sz w:val="32"/>
          <w:szCs w:val="32"/>
          <w:shd w:val="clear" w:color="auto" w:fill="FFFFFF"/>
        </w:rPr>
        <w:t>完成一体化综合服务管理平台框架建设。整合优化行业信息化管理系统。推进智慧公园、建筑垃圾、林业“一张图”建设。逐步拓展“绿容服务”平台范围。探索研究行业管理智能体建设。打造3-5个行业智能化应用场景。制定“十五五”数字化转型规划，出台数据安全与项目管理等标准。</w:t>
      </w:r>
    </w:p>
    <w:p>
      <w:pPr>
        <w:pStyle w:val="9"/>
        <w:spacing w:after="0" w:line="600" w:lineRule="exact"/>
        <w:ind w:firstLine="643" w:firstLineChars="200"/>
        <w:rPr>
          <w:rStyle w:val="14"/>
          <w:rFonts w:ascii="楷体_GB2312" w:hAnsi="黑体" w:eastAsia="楷体_GB2312" w:cs="Segoe UI"/>
          <w:color w:val="0F1115"/>
          <w:sz w:val="32"/>
          <w:szCs w:val="32"/>
          <w:shd w:val="clear" w:color="auto" w:fill="FFFFFF"/>
        </w:rPr>
      </w:pPr>
      <w:r>
        <w:rPr>
          <w:rStyle w:val="14"/>
          <w:rFonts w:hint="eastAsia" w:ascii="楷体_GB2312" w:hAnsi="黑体" w:eastAsia="楷体_GB2312" w:cs="Segoe UI"/>
          <w:color w:val="0F1115"/>
          <w:sz w:val="32"/>
          <w:szCs w:val="32"/>
          <w:shd w:val="clear" w:color="auto" w:fill="FFFFFF"/>
        </w:rPr>
        <w:t>23.推动宣传工作提质增效。</w:t>
      </w:r>
      <w:r>
        <w:rPr>
          <w:rFonts w:hint="eastAsia" w:ascii="仿宋_GB2312" w:eastAsia="仿宋_GB2312"/>
          <w:sz w:val="32"/>
          <w:szCs w:val="32"/>
        </w:rPr>
        <w:t>聚焦行业重点工作，加强宣传策划保障。深化《阿拉看绿容》等媒体品牌宣传合作，加快“绿色上海”新媒体IP品牌升级，多形式提升成果宣介、政策解读、便民服务实效。健全舆情应对机制，研究制定舆情应对预案，加强线上线下联动处置。</w:t>
      </w:r>
    </w:p>
    <w:p>
      <w:pPr>
        <w:pStyle w:val="9"/>
        <w:spacing w:after="0" w:line="600" w:lineRule="exact"/>
        <w:ind w:firstLine="643" w:firstLineChars="200"/>
        <w:rPr>
          <w:rStyle w:val="14"/>
          <w:rFonts w:ascii="楷体_GB2312" w:hAnsi="黑体" w:eastAsia="楷体_GB2312" w:cs="Segoe UI"/>
          <w:color w:val="0F1115"/>
          <w:sz w:val="32"/>
          <w:szCs w:val="32"/>
          <w:shd w:val="clear" w:color="auto" w:fill="FFFFFF"/>
        </w:rPr>
      </w:pPr>
      <w:r>
        <w:rPr>
          <w:rStyle w:val="14"/>
          <w:rFonts w:hint="eastAsia" w:ascii="楷体_GB2312" w:hAnsi="黑体" w:eastAsia="楷体_GB2312" w:cs="Segoe UI"/>
          <w:color w:val="0F1115"/>
          <w:sz w:val="32"/>
          <w:szCs w:val="32"/>
          <w:shd w:val="clear" w:color="auto" w:fill="FFFFFF"/>
        </w:rPr>
        <w:t>24.深化行业全民科普体系。</w:t>
      </w:r>
      <w:r>
        <w:rPr>
          <w:rFonts w:hint="eastAsia" w:ascii="仿宋_GB2312" w:hAnsi="仿宋_GB2312" w:eastAsia="仿宋_GB2312" w:cs="仿宋_GB2312"/>
          <w:sz w:val="32"/>
          <w:szCs w:val="32"/>
        </w:rPr>
        <w:t>发布科普工作专项实施方案，整合行业优质科普资源。打造“申入自然”主品牌，培育系列子品牌，形成行业科普矩阵。加大科普宣传力度，营造全民科普氛围。</w:t>
      </w:r>
    </w:p>
    <w:p>
      <w:pPr>
        <w:pStyle w:val="9"/>
        <w:spacing w:after="0" w:line="600" w:lineRule="exact"/>
        <w:ind w:firstLine="643" w:firstLineChars="200"/>
        <w:rPr>
          <w:rStyle w:val="14"/>
          <w:rFonts w:ascii="楷体_GB2312" w:hAnsi="黑体" w:eastAsia="楷体_GB2312" w:cs="Segoe UI"/>
          <w:color w:val="0F1115"/>
          <w:sz w:val="32"/>
          <w:szCs w:val="32"/>
          <w:shd w:val="clear" w:color="auto" w:fill="FFFFFF"/>
        </w:rPr>
      </w:pPr>
      <w:r>
        <w:rPr>
          <w:rStyle w:val="14"/>
          <w:rFonts w:hint="eastAsia" w:ascii="楷体_GB2312" w:hAnsi="黑体" w:eastAsia="楷体_GB2312" w:cs="Segoe UI"/>
          <w:color w:val="0F1115"/>
          <w:sz w:val="32"/>
          <w:szCs w:val="32"/>
          <w:shd w:val="clear" w:color="auto" w:fill="FFFFFF"/>
        </w:rPr>
        <w:t>25.筑牢安全稳定工作防线。</w:t>
      </w:r>
      <w:r>
        <w:rPr>
          <w:rStyle w:val="14"/>
          <w:rFonts w:hint="eastAsia" w:ascii="仿宋_GB2312" w:hAnsi="黑体" w:eastAsia="仿宋_GB2312" w:cs="Segoe UI"/>
          <w:b w:val="0"/>
          <w:color w:val="0F1115"/>
          <w:sz w:val="32"/>
          <w:szCs w:val="32"/>
          <w:shd w:val="clear" w:color="auto" w:fill="FFFFFF"/>
        </w:rPr>
        <w:t>持续压紧压实安全生产责任，</w:t>
      </w:r>
      <w:r>
        <w:rPr>
          <w:rFonts w:hint="eastAsia" w:eastAsia="仿宋_GB2312"/>
          <w:sz w:val="32"/>
          <w:szCs w:val="40"/>
        </w:rPr>
        <w:t>扎实做好安全生产治本攻坚三年行动收官工作，加强应急抢险和救灾保障能力建设</w:t>
      </w:r>
      <w:r>
        <w:rPr>
          <w:rFonts w:hint="eastAsia" w:ascii="仿宋_GB2312" w:hAnsi="仿宋_GB2312" w:eastAsia="仿宋_GB2312" w:cs="仿宋_GB2312"/>
          <w:sz w:val="32"/>
          <w:szCs w:val="32"/>
        </w:rPr>
        <w:t>。深化国家安全宣传教育。提升网络安全防护水平。从严抓好保密工作。</w:t>
      </w:r>
    </w:p>
    <w:p>
      <w:pPr>
        <w:spacing w:line="600" w:lineRule="exact"/>
        <w:ind w:firstLine="643" w:firstLineChars="200"/>
        <w:rPr>
          <w:rFonts w:hAnsi="仿宋_GB2312" w:cs="仿宋_GB2312"/>
          <w:szCs w:val="32"/>
        </w:rPr>
      </w:pPr>
      <w:r>
        <w:rPr>
          <w:rStyle w:val="14"/>
          <w:rFonts w:hint="eastAsia" w:ascii="楷体_GB2312" w:hAnsi="黑体" w:eastAsia="楷体_GB2312" w:cs="Segoe UI"/>
          <w:color w:val="0F1115"/>
          <w:szCs w:val="32"/>
          <w:shd w:val="clear" w:color="auto" w:fill="FFFFFF"/>
        </w:rPr>
        <w:t>26.切实回应社会、基层关注问题。</w:t>
      </w:r>
      <w:r>
        <w:rPr>
          <w:rFonts w:hint="eastAsia" w:hAnsi="Segoe UI" w:cs="Segoe UI"/>
          <w:szCs w:val="32"/>
        </w:rPr>
        <w:t>聚焦12345市民热线、信访中反复出现高频问题，建立高频诉件联动分析和快速处置闭环工作机制。持续推进</w:t>
      </w:r>
      <w:r>
        <w:rPr>
          <w:rFonts w:hint="eastAsia" w:hAnsi="仿宋_GB2312" w:cs="仿宋_GB2312"/>
          <w:szCs w:val="32"/>
        </w:rPr>
        <w:t>行道树飘絮和遮挡治理、林下经济高质量发展、规范装修垃圾收运管理、户外设摊有序管理等为主要内容的行业民生实事项目。办好人大代表、政协委员建议提案。深化“局长服务接待日”制度，实现为民服务、为行业服务全覆盖。切实做好区、街镇诉求办理。深入推进为基层减负。</w:t>
      </w:r>
    </w:p>
    <w:p>
      <w:pPr>
        <w:spacing w:line="600" w:lineRule="exact"/>
        <w:ind w:firstLine="643" w:firstLineChars="200"/>
        <w:rPr>
          <w:rFonts w:hAnsi="仿宋_GB2312" w:cs="仿宋_GB2312"/>
          <w:szCs w:val="32"/>
        </w:rPr>
      </w:pPr>
      <w:r>
        <w:rPr>
          <w:rStyle w:val="14"/>
          <w:rFonts w:hint="eastAsia" w:ascii="楷体_GB2312" w:hAnsi="Segoe UI" w:eastAsia="楷体_GB2312" w:cs="Segoe UI"/>
          <w:color w:val="0F1115"/>
          <w:shd w:val="clear" w:color="auto" w:fill="FFFFFF"/>
        </w:rPr>
        <w:t>27.</w:t>
      </w:r>
      <w:r>
        <w:rPr>
          <w:rStyle w:val="14"/>
          <w:rFonts w:hint="eastAsia" w:ascii="楷体_GB2312" w:hAnsi="Segoe UI" w:eastAsia="楷体_GB2312" w:cs="Segoe UI"/>
          <w:color w:val="0F1115"/>
          <w:szCs w:val="32"/>
          <w:shd w:val="clear" w:color="auto" w:fill="FFFFFF"/>
        </w:rPr>
        <w:t>持续</w:t>
      </w:r>
      <w:r>
        <w:rPr>
          <w:rStyle w:val="14"/>
          <w:rFonts w:hint="eastAsia" w:ascii="楷体_GB2312" w:hAnsi="Segoe UI" w:eastAsia="楷体_GB2312" w:cs="Segoe UI"/>
          <w:color w:val="0F1115"/>
          <w:shd w:val="clear" w:color="auto" w:fill="FFFFFF"/>
        </w:rPr>
        <w:t>提供坚实财务保障。</w:t>
      </w:r>
      <w:r>
        <w:rPr>
          <w:rFonts w:hint="eastAsia" w:hAnsi="仿宋_GB2312" w:cs="仿宋_GB2312"/>
          <w:szCs w:val="32"/>
        </w:rPr>
        <w:t>强化预算约束，开展财政绩效评估，落实结果应用。结合本市公园运营模式的创新实践，探索资产多元市场化经营路径。</w:t>
      </w:r>
    </w:p>
    <w:p>
      <w:pPr>
        <w:pStyle w:val="9"/>
        <w:spacing w:after="0" w:line="600" w:lineRule="exact"/>
        <w:ind w:firstLine="640" w:firstLineChars="200"/>
        <w:rPr>
          <w:rStyle w:val="14"/>
          <w:rFonts w:ascii="黑体" w:hAnsi="黑体" w:eastAsia="黑体" w:cs="Segoe UI"/>
          <w:b w:val="0"/>
          <w:color w:val="0F1115"/>
          <w:sz w:val="32"/>
          <w:szCs w:val="32"/>
          <w:shd w:val="clear" w:color="auto" w:fill="FFFFFF"/>
        </w:rPr>
      </w:pPr>
      <w:r>
        <w:rPr>
          <w:rStyle w:val="14"/>
          <w:rFonts w:hint="eastAsia" w:ascii="黑体" w:hAnsi="黑体" w:eastAsia="黑体" w:cs="Segoe UI"/>
          <w:b w:val="0"/>
          <w:color w:val="0F1115"/>
          <w:sz w:val="32"/>
          <w:szCs w:val="32"/>
          <w:shd w:val="clear" w:color="auto" w:fill="FFFFFF"/>
        </w:rPr>
        <w:t>六、强化政治引领作用，</w:t>
      </w:r>
      <w:bookmarkStart w:id="4" w:name="OLE_LINK5"/>
      <w:bookmarkStart w:id="5" w:name="OLE_LINK6"/>
      <w:r>
        <w:rPr>
          <w:rStyle w:val="14"/>
          <w:rFonts w:hint="eastAsia" w:ascii="黑体" w:hAnsi="黑体" w:eastAsia="黑体" w:cs="Segoe UI"/>
          <w:b w:val="0"/>
          <w:color w:val="0F1115"/>
          <w:sz w:val="32"/>
          <w:szCs w:val="32"/>
          <w:shd w:val="clear" w:color="auto" w:fill="FFFFFF"/>
        </w:rPr>
        <w:t>凝聚</w:t>
      </w:r>
      <w:bookmarkEnd w:id="4"/>
      <w:bookmarkEnd w:id="5"/>
      <w:r>
        <w:rPr>
          <w:rStyle w:val="14"/>
          <w:rFonts w:hint="eastAsia" w:ascii="黑体" w:hAnsi="黑体" w:eastAsia="黑体" w:cs="Segoe UI"/>
          <w:b w:val="0"/>
          <w:color w:val="0F1115"/>
          <w:sz w:val="32"/>
          <w:szCs w:val="32"/>
          <w:shd w:val="clear" w:color="auto" w:fill="FFFFFF"/>
        </w:rPr>
        <w:t>工作合力</w:t>
      </w:r>
    </w:p>
    <w:p>
      <w:pPr>
        <w:pStyle w:val="9"/>
        <w:spacing w:after="0" w:line="600" w:lineRule="exact"/>
        <w:ind w:firstLine="643" w:firstLineChars="200"/>
        <w:rPr>
          <w:rFonts w:ascii="仿宋_GB2312" w:hAnsi="仿宋_GB2312" w:eastAsia="仿宋_GB2312" w:cs="仿宋_GB2312"/>
          <w:b/>
          <w:bCs/>
        </w:rPr>
      </w:pPr>
      <w:bookmarkStart w:id="6" w:name="OLE_LINK3"/>
      <w:bookmarkStart w:id="7" w:name="OLE_LINK4"/>
      <w:r>
        <w:rPr>
          <w:rStyle w:val="14"/>
          <w:rFonts w:hint="eastAsia" w:ascii="楷体_GB2312" w:hAnsi="Segoe UI" w:eastAsia="楷体_GB2312" w:cs="Segoe UI"/>
          <w:color w:val="0F1115"/>
          <w:sz w:val="32"/>
          <w:szCs w:val="32"/>
          <w:shd w:val="clear" w:color="auto" w:fill="FFFFFF"/>
        </w:rPr>
        <w:t>28.巩固提升中央环保督察及市委巡视整改成效。</w:t>
      </w:r>
      <w:r>
        <w:rPr>
          <w:rFonts w:hint="eastAsia" w:ascii="仿宋_GB2312" w:hAnsi="仿宋_GB2312" w:eastAsia="仿宋_GB2312" w:cs="仿宋_GB2312"/>
          <w:sz w:val="32"/>
          <w:szCs w:val="32"/>
        </w:rPr>
        <w:t>严格落实中央生态环境保护督察问题整改要求，巩固提升建筑垃圾、林业管理、互花米草整改成效，严防问题反弹。坚持“四个融入”，抓好市委巡视长期整改，进一步完善行业治理机制体制建设，举一反三做到整改一个点上问题，解决一类面上问题，提升一个行业领域。</w:t>
      </w:r>
    </w:p>
    <w:p>
      <w:pPr>
        <w:pStyle w:val="9"/>
        <w:spacing w:after="0" w:line="600" w:lineRule="exact"/>
        <w:ind w:firstLine="643" w:firstLineChars="200"/>
        <w:rPr>
          <w:rStyle w:val="14"/>
          <w:rFonts w:ascii="仿宋_GB2312" w:hAnsi="Segoe UI" w:eastAsia="仿宋_GB2312" w:cs="Segoe UI"/>
          <w:b w:val="0"/>
          <w:color w:val="0F1115"/>
          <w:sz w:val="32"/>
          <w:szCs w:val="32"/>
          <w:shd w:val="clear" w:color="auto" w:fill="FFFFFF"/>
        </w:rPr>
      </w:pPr>
      <w:r>
        <w:rPr>
          <w:rStyle w:val="14"/>
          <w:rFonts w:hint="eastAsia" w:ascii="楷体_GB2312" w:hAnsi="Segoe UI" w:eastAsia="楷体_GB2312" w:cs="Segoe UI"/>
          <w:color w:val="0F1115"/>
          <w:sz w:val="32"/>
          <w:szCs w:val="32"/>
          <w:shd w:val="clear" w:color="auto" w:fill="FFFFFF"/>
        </w:rPr>
        <w:t>29.加强党的政治建设。</w:t>
      </w:r>
      <w:r>
        <w:rPr>
          <w:rFonts w:hint="eastAsia" w:ascii="仿宋_GB2312" w:hAnsi="Segoe UI" w:eastAsia="仿宋_GB2312" w:cs="Segoe UI"/>
          <w:color w:val="0F1115"/>
          <w:sz w:val="32"/>
          <w:szCs w:val="32"/>
          <w:shd w:val="clear" w:color="auto" w:fill="FFFFFF"/>
        </w:rPr>
        <w:t>把学习贯彻党的二十届四中全会精神作为重大政治任务，加强正确政绩观教育。</w:t>
      </w:r>
      <w:r>
        <w:rPr>
          <w:rStyle w:val="14"/>
          <w:rFonts w:hint="eastAsia" w:ascii="仿宋_GB2312" w:hAnsi="Segoe UI" w:eastAsia="仿宋_GB2312" w:cs="Segoe UI"/>
          <w:b w:val="0"/>
          <w:color w:val="0F1115"/>
          <w:sz w:val="32"/>
          <w:szCs w:val="32"/>
          <w:shd w:val="clear" w:color="auto" w:fill="FFFFFF"/>
        </w:rPr>
        <w:t>坚持以党的政治建设统领领导班子建设，以正确用人导向引领干事创业导向。办好“绿容青年行”活动。高质量组织开展系统性培训、全覆盖轮训，全面提高干部现代化建设能力。推动行业党建赋能基层治理提质增效，探索行业专业力量下沉网格的具体场景和路径。推进事业单位综合效能提升，构建职责清晰、运行流畅、推进有力的事业单位体制机制。</w:t>
      </w:r>
    </w:p>
    <w:p>
      <w:pPr>
        <w:pStyle w:val="9"/>
        <w:spacing w:after="0" w:line="600" w:lineRule="exact"/>
        <w:ind w:firstLine="643" w:firstLineChars="200"/>
        <w:rPr>
          <w:rStyle w:val="14"/>
          <w:rFonts w:ascii="楷体_GB2312" w:hAnsi="Segoe UI" w:eastAsia="楷体_GB2312" w:cs="Segoe UI"/>
          <w:color w:val="0F1115"/>
          <w:sz w:val="32"/>
          <w:szCs w:val="32"/>
          <w:shd w:val="clear" w:color="auto" w:fill="FFFFFF"/>
        </w:rPr>
      </w:pPr>
      <w:r>
        <w:rPr>
          <w:rStyle w:val="14"/>
          <w:rFonts w:hint="eastAsia" w:ascii="楷体_GB2312" w:hAnsi="Segoe UI" w:eastAsia="楷体_GB2312" w:cs="Segoe UI"/>
          <w:color w:val="0F1115"/>
          <w:sz w:val="32"/>
          <w:szCs w:val="32"/>
          <w:shd w:val="clear" w:color="auto" w:fill="FFFFFF"/>
        </w:rPr>
        <w:t>30.推动全面从严治党向纵深发展。</w:t>
      </w:r>
      <w:r>
        <w:rPr>
          <w:rFonts w:hint="eastAsia" w:ascii="仿宋_GB2312" w:hAnsi="Segoe UI" w:eastAsia="仿宋_GB2312" w:cs="Segoe UI"/>
          <w:color w:val="0F1115"/>
          <w:sz w:val="32"/>
          <w:szCs w:val="32"/>
          <w:shd w:val="clear" w:color="auto" w:fill="FFFFFF"/>
        </w:rPr>
        <w:t>做实政治监督，推动党中央重大决策和市委、市政府各项工作要求落地见效。深化“四责协同”机制，推动责任贯通协同、向基层压实。持续正风肃纪。一体推进“三不腐”，深化群众身边的不正之风和腐败问题集中整治。强化政治巡察，实现党组第三轮巡察全覆盖。</w:t>
      </w:r>
    </w:p>
    <w:p>
      <w:pPr>
        <w:pStyle w:val="9"/>
        <w:spacing w:after="0" w:line="600" w:lineRule="exact"/>
        <w:ind w:firstLine="643" w:firstLineChars="200"/>
        <w:rPr>
          <w:rStyle w:val="14"/>
          <w:rFonts w:ascii="仿宋_GB2312" w:hAnsi="Segoe UI" w:eastAsia="仿宋_GB2312" w:cs="Segoe UI"/>
          <w:b w:val="0"/>
          <w:color w:val="0F1115"/>
          <w:sz w:val="32"/>
          <w:szCs w:val="32"/>
          <w:shd w:val="clear" w:color="auto" w:fill="FFFFFF"/>
        </w:rPr>
      </w:pPr>
      <w:r>
        <w:rPr>
          <w:rStyle w:val="14"/>
          <w:rFonts w:hint="eastAsia" w:ascii="楷体_GB2312" w:hAnsi="Segoe UI" w:eastAsia="楷体_GB2312" w:cs="Segoe UI"/>
          <w:color w:val="0F1115"/>
          <w:sz w:val="32"/>
          <w:szCs w:val="32"/>
          <w:shd w:val="clear" w:color="auto" w:fill="FFFFFF"/>
        </w:rPr>
        <w:t>31.持续激发工青妇团组织活力。</w:t>
      </w:r>
      <w:r>
        <w:rPr>
          <w:rStyle w:val="14"/>
          <w:rFonts w:hint="eastAsia" w:ascii="仿宋_GB2312" w:hAnsi="Segoe UI" w:eastAsia="仿宋_GB2312" w:cs="Segoe UI"/>
          <w:b w:val="0"/>
          <w:color w:val="0F1115"/>
          <w:sz w:val="32"/>
          <w:szCs w:val="32"/>
          <w:shd w:val="clear" w:color="auto" w:fill="FFFFFF"/>
        </w:rPr>
        <w:t>持续开展行业集体协商。推进环卫工人工资账户开立和监管，切实做好绿化工程领域欠薪治理。开展关爱环卫工人专项行动。开展行业劳动和技能竞赛。深化上海绿色青年讲师团建设，开展“五四”主题团日活动，发动青年智囊团建言献策，办好爱心暑（寒）托班。做好统战、妇联、行业学会（协会）的管理工作。</w:t>
      </w:r>
    </w:p>
    <w:bookmarkEnd w:id="6"/>
    <w:bookmarkEnd w:id="7"/>
    <w:p>
      <w:pPr>
        <w:pStyle w:val="9"/>
        <w:spacing w:after="0" w:line="600" w:lineRule="exact"/>
        <w:ind w:firstLine="643" w:firstLineChars="200"/>
        <w:rPr>
          <w:rStyle w:val="14"/>
          <w:rFonts w:ascii="楷体_GB2312" w:hAnsi="Segoe UI" w:eastAsia="楷体_GB2312" w:cs="Segoe UI"/>
          <w:color w:val="0F1115"/>
          <w:sz w:val="32"/>
          <w:szCs w:val="32"/>
          <w:shd w:val="clear" w:color="auto" w:fill="FFFFFF"/>
        </w:rPr>
      </w:pPr>
    </w:p>
    <w:bookmarkEnd w:id="0"/>
    <w:bookmarkEnd w:id="1"/>
    <w:p>
      <w:pPr>
        <w:pStyle w:val="19"/>
        <w:ind w:firstLine="643"/>
        <w:rPr>
          <w:b/>
          <w:bCs/>
          <w:color w:val="00000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Cambria">
    <w:altName w:val="Noto Sans Syriac Eastern"/>
    <w:panose1 w:val="02040503050406030204"/>
    <w:charset w:val="00"/>
    <w:family w:val="roman"/>
    <w:pitch w:val="default"/>
    <w:sig w:usb0="00000000" w:usb1="00000000" w:usb2="00000000" w:usb3="00000000" w:csb0="0000019F" w:csb1="00000000"/>
  </w:font>
  <w:font w:name="华文中宋">
    <w:panose1 w:val="02010600040101010101"/>
    <w:charset w:val="86"/>
    <w:family w:val="auto"/>
    <w:pitch w:val="default"/>
    <w:sig w:usb0="00000287" w:usb1="080F0000" w:usb2="00000000" w:usb3="00000000" w:csb0="0004009F" w:csb1="DFD70000"/>
  </w:font>
  <w:font w:name="Segoe UI">
    <w:altName w:val="Noto Music"/>
    <w:panose1 w:val="020B0502040204020203"/>
    <w:charset w:val="00"/>
    <w:family w:val="swiss"/>
    <w:pitch w:val="default"/>
    <w:sig w:usb0="00000000" w:usb1="00000000" w:usb2="00000029" w:usb3="00000000" w:csb0="000001D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76746"/>
    </w:sdtPr>
    <w:sdtContent>
      <w:p>
        <w:pPr>
          <w:pStyle w:val="7"/>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kyNjI4ZGQ5ZGQzYjViN2ZlM2JhNzhhYjBmYzVhNjAifQ=="/>
  </w:docVars>
  <w:rsids>
    <w:rsidRoot w:val="00F50DBE"/>
    <w:rsid w:val="00003B8E"/>
    <w:rsid w:val="00007475"/>
    <w:rsid w:val="00014553"/>
    <w:rsid w:val="000245DD"/>
    <w:rsid w:val="00025E81"/>
    <w:rsid w:val="0004658A"/>
    <w:rsid w:val="000574DD"/>
    <w:rsid w:val="000635CD"/>
    <w:rsid w:val="00070B80"/>
    <w:rsid w:val="00084029"/>
    <w:rsid w:val="00091139"/>
    <w:rsid w:val="000932A8"/>
    <w:rsid w:val="0009761D"/>
    <w:rsid w:val="000C03EA"/>
    <w:rsid w:val="000D323B"/>
    <w:rsid w:val="000E395C"/>
    <w:rsid w:val="000E70EF"/>
    <w:rsid w:val="000F3086"/>
    <w:rsid w:val="000F642A"/>
    <w:rsid w:val="00101E24"/>
    <w:rsid w:val="00111580"/>
    <w:rsid w:val="001138C4"/>
    <w:rsid w:val="001158C1"/>
    <w:rsid w:val="001232BE"/>
    <w:rsid w:val="00123E87"/>
    <w:rsid w:val="001373DD"/>
    <w:rsid w:val="001615BB"/>
    <w:rsid w:val="001631A0"/>
    <w:rsid w:val="00163BA8"/>
    <w:rsid w:val="00166B4A"/>
    <w:rsid w:val="0017732E"/>
    <w:rsid w:val="00180AC4"/>
    <w:rsid w:val="00183EA4"/>
    <w:rsid w:val="00190683"/>
    <w:rsid w:val="00190C05"/>
    <w:rsid w:val="00196F9D"/>
    <w:rsid w:val="001978ED"/>
    <w:rsid w:val="00197E88"/>
    <w:rsid w:val="001B5E9A"/>
    <w:rsid w:val="001C4039"/>
    <w:rsid w:val="001F23E0"/>
    <w:rsid w:val="001F2C7D"/>
    <w:rsid w:val="001F3C40"/>
    <w:rsid w:val="00200215"/>
    <w:rsid w:val="00204431"/>
    <w:rsid w:val="0022229B"/>
    <w:rsid w:val="00224252"/>
    <w:rsid w:val="00224ABC"/>
    <w:rsid w:val="00230D88"/>
    <w:rsid w:val="002346A9"/>
    <w:rsid w:val="0023684C"/>
    <w:rsid w:val="00244D18"/>
    <w:rsid w:val="00247866"/>
    <w:rsid w:val="00250C1B"/>
    <w:rsid w:val="00256BA9"/>
    <w:rsid w:val="002623D9"/>
    <w:rsid w:val="0027117A"/>
    <w:rsid w:val="00273D57"/>
    <w:rsid w:val="0028050E"/>
    <w:rsid w:val="00292013"/>
    <w:rsid w:val="00292A9E"/>
    <w:rsid w:val="00293944"/>
    <w:rsid w:val="00296188"/>
    <w:rsid w:val="00296C9E"/>
    <w:rsid w:val="00297239"/>
    <w:rsid w:val="002A2444"/>
    <w:rsid w:val="002A3C43"/>
    <w:rsid w:val="002A3D89"/>
    <w:rsid w:val="002A5748"/>
    <w:rsid w:val="002B4EB9"/>
    <w:rsid w:val="002C0A72"/>
    <w:rsid w:val="002C7BD7"/>
    <w:rsid w:val="002D6958"/>
    <w:rsid w:val="002D731C"/>
    <w:rsid w:val="002D789F"/>
    <w:rsid w:val="002E103E"/>
    <w:rsid w:val="002F2E5A"/>
    <w:rsid w:val="003009FD"/>
    <w:rsid w:val="00305328"/>
    <w:rsid w:val="00305827"/>
    <w:rsid w:val="0031625D"/>
    <w:rsid w:val="00325E03"/>
    <w:rsid w:val="0033046F"/>
    <w:rsid w:val="003405E5"/>
    <w:rsid w:val="003411F3"/>
    <w:rsid w:val="00357E6C"/>
    <w:rsid w:val="00361F24"/>
    <w:rsid w:val="003643E7"/>
    <w:rsid w:val="00366294"/>
    <w:rsid w:val="003815F9"/>
    <w:rsid w:val="003A233B"/>
    <w:rsid w:val="003B08BF"/>
    <w:rsid w:val="003C154E"/>
    <w:rsid w:val="003C5DD6"/>
    <w:rsid w:val="003C6B95"/>
    <w:rsid w:val="003E104A"/>
    <w:rsid w:val="003E3E2F"/>
    <w:rsid w:val="003E6B94"/>
    <w:rsid w:val="003F4C76"/>
    <w:rsid w:val="004006F5"/>
    <w:rsid w:val="00401493"/>
    <w:rsid w:val="00404E60"/>
    <w:rsid w:val="004067BE"/>
    <w:rsid w:val="004113F5"/>
    <w:rsid w:val="00422BEB"/>
    <w:rsid w:val="004333DB"/>
    <w:rsid w:val="004557A9"/>
    <w:rsid w:val="00466B41"/>
    <w:rsid w:val="00477CCC"/>
    <w:rsid w:val="00486D7F"/>
    <w:rsid w:val="0049372B"/>
    <w:rsid w:val="004A0D9B"/>
    <w:rsid w:val="004B16BA"/>
    <w:rsid w:val="004B5CAE"/>
    <w:rsid w:val="004D1D5E"/>
    <w:rsid w:val="004F75D0"/>
    <w:rsid w:val="0050338A"/>
    <w:rsid w:val="00503DCC"/>
    <w:rsid w:val="00517870"/>
    <w:rsid w:val="00517AD7"/>
    <w:rsid w:val="005238BA"/>
    <w:rsid w:val="005250ED"/>
    <w:rsid w:val="0054150F"/>
    <w:rsid w:val="00542051"/>
    <w:rsid w:val="005465CB"/>
    <w:rsid w:val="00546821"/>
    <w:rsid w:val="005601FD"/>
    <w:rsid w:val="00563DF8"/>
    <w:rsid w:val="00565B99"/>
    <w:rsid w:val="005811F8"/>
    <w:rsid w:val="005864A4"/>
    <w:rsid w:val="00590595"/>
    <w:rsid w:val="005941DA"/>
    <w:rsid w:val="005A48E8"/>
    <w:rsid w:val="005B4034"/>
    <w:rsid w:val="005B7E9A"/>
    <w:rsid w:val="005C0BE0"/>
    <w:rsid w:val="005D0BB0"/>
    <w:rsid w:val="005D5CF7"/>
    <w:rsid w:val="005E26F2"/>
    <w:rsid w:val="00610BEF"/>
    <w:rsid w:val="006175F7"/>
    <w:rsid w:val="006205D0"/>
    <w:rsid w:val="00626E40"/>
    <w:rsid w:val="006608B2"/>
    <w:rsid w:val="00663963"/>
    <w:rsid w:val="00675ACB"/>
    <w:rsid w:val="00684E5A"/>
    <w:rsid w:val="00684FD6"/>
    <w:rsid w:val="00687B3A"/>
    <w:rsid w:val="0069076D"/>
    <w:rsid w:val="00694B4C"/>
    <w:rsid w:val="00696888"/>
    <w:rsid w:val="006A0C6F"/>
    <w:rsid w:val="006B0235"/>
    <w:rsid w:val="006B1A8C"/>
    <w:rsid w:val="006C10A0"/>
    <w:rsid w:val="006C23DD"/>
    <w:rsid w:val="006D1F58"/>
    <w:rsid w:val="006E09AF"/>
    <w:rsid w:val="006E4401"/>
    <w:rsid w:val="00700456"/>
    <w:rsid w:val="0070477C"/>
    <w:rsid w:val="00706793"/>
    <w:rsid w:val="00706A3D"/>
    <w:rsid w:val="00710989"/>
    <w:rsid w:val="00714443"/>
    <w:rsid w:val="007147F2"/>
    <w:rsid w:val="007164D3"/>
    <w:rsid w:val="00720006"/>
    <w:rsid w:val="00730C35"/>
    <w:rsid w:val="00733765"/>
    <w:rsid w:val="0073538F"/>
    <w:rsid w:val="00742362"/>
    <w:rsid w:val="0074580F"/>
    <w:rsid w:val="00750462"/>
    <w:rsid w:val="00755B84"/>
    <w:rsid w:val="00760A13"/>
    <w:rsid w:val="00760B05"/>
    <w:rsid w:val="00765322"/>
    <w:rsid w:val="007816F1"/>
    <w:rsid w:val="00787726"/>
    <w:rsid w:val="00790B79"/>
    <w:rsid w:val="007919A8"/>
    <w:rsid w:val="00796DAD"/>
    <w:rsid w:val="007A59A9"/>
    <w:rsid w:val="007B6551"/>
    <w:rsid w:val="007C3EFD"/>
    <w:rsid w:val="007C3EFF"/>
    <w:rsid w:val="007D5497"/>
    <w:rsid w:val="007D7D2B"/>
    <w:rsid w:val="007E379E"/>
    <w:rsid w:val="007E3CE7"/>
    <w:rsid w:val="007E69D9"/>
    <w:rsid w:val="007F3D0E"/>
    <w:rsid w:val="00815BFA"/>
    <w:rsid w:val="00821470"/>
    <w:rsid w:val="00822044"/>
    <w:rsid w:val="0082405C"/>
    <w:rsid w:val="00831F16"/>
    <w:rsid w:val="00833C2A"/>
    <w:rsid w:val="00842679"/>
    <w:rsid w:val="00842F88"/>
    <w:rsid w:val="00861D81"/>
    <w:rsid w:val="00862C8B"/>
    <w:rsid w:val="008739DD"/>
    <w:rsid w:val="00874841"/>
    <w:rsid w:val="00887DE3"/>
    <w:rsid w:val="008954D5"/>
    <w:rsid w:val="008A64AB"/>
    <w:rsid w:val="008C4BCB"/>
    <w:rsid w:val="008C5DF7"/>
    <w:rsid w:val="008D3639"/>
    <w:rsid w:val="008D510F"/>
    <w:rsid w:val="008D5F5B"/>
    <w:rsid w:val="008D71C1"/>
    <w:rsid w:val="008D7567"/>
    <w:rsid w:val="008E05DC"/>
    <w:rsid w:val="008E567B"/>
    <w:rsid w:val="008F2A63"/>
    <w:rsid w:val="008F7E2F"/>
    <w:rsid w:val="00904FEF"/>
    <w:rsid w:val="00907162"/>
    <w:rsid w:val="009225F1"/>
    <w:rsid w:val="00923E27"/>
    <w:rsid w:val="0093131B"/>
    <w:rsid w:val="00935B26"/>
    <w:rsid w:val="00936EAE"/>
    <w:rsid w:val="00954A82"/>
    <w:rsid w:val="00955C54"/>
    <w:rsid w:val="00956AC8"/>
    <w:rsid w:val="00970536"/>
    <w:rsid w:val="00984674"/>
    <w:rsid w:val="0098498C"/>
    <w:rsid w:val="009855C1"/>
    <w:rsid w:val="00987B02"/>
    <w:rsid w:val="009912AC"/>
    <w:rsid w:val="0099464C"/>
    <w:rsid w:val="009A2504"/>
    <w:rsid w:val="009A5DC4"/>
    <w:rsid w:val="009B3749"/>
    <w:rsid w:val="009C2310"/>
    <w:rsid w:val="009C5C14"/>
    <w:rsid w:val="009D3F16"/>
    <w:rsid w:val="009E16BC"/>
    <w:rsid w:val="009E1D03"/>
    <w:rsid w:val="009E33A4"/>
    <w:rsid w:val="009E5FA6"/>
    <w:rsid w:val="009F2112"/>
    <w:rsid w:val="00A05F81"/>
    <w:rsid w:val="00A07307"/>
    <w:rsid w:val="00A07401"/>
    <w:rsid w:val="00A119FE"/>
    <w:rsid w:val="00A14B4E"/>
    <w:rsid w:val="00A1517D"/>
    <w:rsid w:val="00A20A87"/>
    <w:rsid w:val="00A31375"/>
    <w:rsid w:val="00A31581"/>
    <w:rsid w:val="00A44F80"/>
    <w:rsid w:val="00A6150A"/>
    <w:rsid w:val="00A7377B"/>
    <w:rsid w:val="00A81571"/>
    <w:rsid w:val="00A8734B"/>
    <w:rsid w:val="00A96B17"/>
    <w:rsid w:val="00AA3A0D"/>
    <w:rsid w:val="00AA6A51"/>
    <w:rsid w:val="00AB1BC8"/>
    <w:rsid w:val="00AB37E5"/>
    <w:rsid w:val="00AB3AF5"/>
    <w:rsid w:val="00AB51E5"/>
    <w:rsid w:val="00AC2BC3"/>
    <w:rsid w:val="00AD4A0F"/>
    <w:rsid w:val="00AD53FA"/>
    <w:rsid w:val="00AD5812"/>
    <w:rsid w:val="00AE1525"/>
    <w:rsid w:val="00AE5419"/>
    <w:rsid w:val="00AF17B7"/>
    <w:rsid w:val="00B05B00"/>
    <w:rsid w:val="00B066A6"/>
    <w:rsid w:val="00B27E80"/>
    <w:rsid w:val="00B339C7"/>
    <w:rsid w:val="00B347FE"/>
    <w:rsid w:val="00B47C2D"/>
    <w:rsid w:val="00B54601"/>
    <w:rsid w:val="00B54C48"/>
    <w:rsid w:val="00B61416"/>
    <w:rsid w:val="00B67688"/>
    <w:rsid w:val="00B74425"/>
    <w:rsid w:val="00B750A1"/>
    <w:rsid w:val="00B81167"/>
    <w:rsid w:val="00B83110"/>
    <w:rsid w:val="00B97EE9"/>
    <w:rsid w:val="00BA05D9"/>
    <w:rsid w:val="00BA6CC3"/>
    <w:rsid w:val="00BB7AB8"/>
    <w:rsid w:val="00BD4C6D"/>
    <w:rsid w:val="00BD7240"/>
    <w:rsid w:val="00BE7978"/>
    <w:rsid w:val="00BF6DF8"/>
    <w:rsid w:val="00C039E5"/>
    <w:rsid w:val="00C05059"/>
    <w:rsid w:val="00C05DEA"/>
    <w:rsid w:val="00C14EEB"/>
    <w:rsid w:val="00C15EBD"/>
    <w:rsid w:val="00C31D5E"/>
    <w:rsid w:val="00C40C5B"/>
    <w:rsid w:val="00C40E12"/>
    <w:rsid w:val="00C4180C"/>
    <w:rsid w:val="00C42099"/>
    <w:rsid w:val="00C451E0"/>
    <w:rsid w:val="00C6448D"/>
    <w:rsid w:val="00C65CF6"/>
    <w:rsid w:val="00C66750"/>
    <w:rsid w:val="00C94143"/>
    <w:rsid w:val="00C94263"/>
    <w:rsid w:val="00CA3CB0"/>
    <w:rsid w:val="00CA494A"/>
    <w:rsid w:val="00CA6020"/>
    <w:rsid w:val="00CB4FF9"/>
    <w:rsid w:val="00CB61BA"/>
    <w:rsid w:val="00CC0106"/>
    <w:rsid w:val="00CC54EA"/>
    <w:rsid w:val="00CC5FB6"/>
    <w:rsid w:val="00CC64E1"/>
    <w:rsid w:val="00CD7BE1"/>
    <w:rsid w:val="00CE381A"/>
    <w:rsid w:val="00CE4AAA"/>
    <w:rsid w:val="00CE5860"/>
    <w:rsid w:val="00CE6905"/>
    <w:rsid w:val="00CE6B7B"/>
    <w:rsid w:val="00CE7C4E"/>
    <w:rsid w:val="00CF3474"/>
    <w:rsid w:val="00CF4406"/>
    <w:rsid w:val="00CF5244"/>
    <w:rsid w:val="00D0106C"/>
    <w:rsid w:val="00D07A58"/>
    <w:rsid w:val="00D315B9"/>
    <w:rsid w:val="00D369FA"/>
    <w:rsid w:val="00D3797B"/>
    <w:rsid w:val="00D4352A"/>
    <w:rsid w:val="00D474A2"/>
    <w:rsid w:val="00D61AD1"/>
    <w:rsid w:val="00D639FE"/>
    <w:rsid w:val="00D736F3"/>
    <w:rsid w:val="00D73892"/>
    <w:rsid w:val="00D73A02"/>
    <w:rsid w:val="00D76D2D"/>
    <w:rsid w:val="00D870FA"/>
    <w:rsid w:val="00D943CF"/>
    <w:rsid w:val="00D95F99"/>
    <w:rsid w:val="00D97227"/>
    <w:rsid w:val="00DA1F65"/>
    <w:rsid w:val="00DA401C"/>
    <w:rsid w:val="00DA58C9"/>
    <w:rsid w:val="00DA5E22"/>
    <w:rsid w:val="00DB1F94"/>
    <w:rsid w:val="00DB3BAF"/>
    <w:rsid w:val="00DB7B96"/>
    <w:rsid w:val="00DB7DB4"/>
    <w:rsid w:val="00DC445C"/>
    <w:rsid w:val="00DD0380"/>
    <w:rsid w:val="00E01AED"/>
    <w:rsid w:val="00E100C7"/>
    <w:rsid w:val="00E14E1E"/>
    <w:rsid w:val="00E1622B"/>
    <w:rsid w:val="00E162C3"/>
    <w:rsid w:val="00E228E8"/>
    <w:rsid w:val="00E24E3E"/>
    <w:rsid w:val="00E30E52"/>
    <w:rsid w:val="00E40CA9"/>
    <w:rsid w:val="00E47A66"/>
    <w:rsid w:val="00E52E0F"/>
    <w:rsid w:val="00E57015"/>
    <w:rsid w:val="00E60914"/>
    <w:rsid w:val="00E70AC7"/>
    <w:rsid w:val="00E7211C"/>
    <w:rsid w:val="00E73CEA"/>
    <w:rsid w:val="00E747F3"/>
    <w:rsid w:val="00E80CAF"/>
    <w:rsid w:val="00E91F98"/>
    <w:rsid w:val="00EB0233"/>
    <w:rsid w:val="00EB0856"/>
    <w:rsid w:val="00EB2D86"/>
    <w:rsid w:val="00EC7D32"/>
    <w:rsid w:val="00ED2866"/>
    <w:rsid w:val="00EE3C35"/>
    <w:rsid w:val="00EE71DB"/>
    <w:rsid w:val="00EE7E3B"/>
    <w:rsid w:val="00EF107D"/>
    <w:rsid w:val="00EF4AF6"/>
    <w:rsid w:val="00F01972"/>
    <w:rsid w:val="00F055F6"/>
    <w:rsid w:val="00F05D45"/>
    <w:rsid w:val="00F12C35"/>
    <w:rsid w:val="00F15849"/>
    <w:rsid w:val="00F20AF2"/>
    <w:rsid w:val="00F32336"/>
    <w:rsid w:val="00F35161"/>
    <w:rsid w:val="00F41EE0"/>
    <w:rsid w:val="00F42D26"/>
    <w:rsid w:val="00F472FB"/>
    <w:rsid w:val="00F50DBE"/>
    <w:rsid w:val="00F61DC8"/>
    <w:rsid w:val="00F8006B"/>
    <w:rsid w:val="00F81A5E"/>
    <w:rsid w:val="00F90F4F"/>
    <w:rsid w:val="00F97933"/>
    <w:rsid w:val="00FA012B"/>
    <w:rsid w:val="00FA174B"/>
    <w:rsid w:val="00FA7CE1"/>
    <w:rsid w:val="00FC02B3"/>
    <w:rsid w:val="00FC619E"/>
    <w:rsid w:val="00FE1F36"/>
    <w:rsid w:val="00FE393F"/>
    <w:rsid w:val="0EC20336"/>
    <w:rsid w:val="1F4E6DB8"/>
    <w:rsid w:val="23B56597"/>
    <w:rsid w:val="5FFF1CDB"/>
    <w:rsid w:val="DD685BAB"/>
    <w:rsid w:val="EFD7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6"/>
    <w:semiHidden/>
    <w:unhideWhenUsed/>
    <w:qFormat/>
    <w:uiPriority w:val="9"/>
    <w:pPr>
      <w:keepNext/>
      <w:keepLines/>
      <w:spacing w:line="413" w:lineRule="auto"/>
      <w:outlineLvl w:val="2"/>
    </w:pPr>
    <w:rPr>
      <w:b/>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link w:val="27"/>
    <w:unhideWhenUsed/>
    <w:qFormat/>
    <w:uiPriority w:val="99"/>
    <w:pPr>
      <w:spacing w:after="120"/>
      <w:ind w:left="420" w:leftChars="200"/>
    </w:pPr>
    <w:rPr>
      <w:rFonts w:asciiTheme="minorHAnsi" w:hAnsiTheme="minorHAnsi" w:eastAsiaTheme="minorEastAsia" w:cstheme="minorBidi"/>
      <w:sz w:val="21"/>
    </w:rPr>
  </w:style>
  <w:style w:type="paragraph" w:styleId="5">
    <w:name w:val="envelope return"/>
    <w:basedOn w:val="1"/>
    <w:semiHidden/>
    <w:unhideWhenUsed/>
    <w:qFormat/>
    <w:uiPriority w:val="99"/>
    <w:pPr>
      <w:snapToGrid w:val="0"/>
    </w:pPr>
    <w:rPr>
      <w:rFonts w:asciiTheme="majorHAnsi" w:hAnsiTheme="majorHAnsi" w:eastAsiaTheme="majorEastAsia" w:cstheme="majorBidi"/>
    </w:rPr>
  </w:style>
  <w:style w:type="paragraph" w:styleId="6">
    <w:name w:val="Balloon Text"/>
    <w:basedOn w:val="1"/>
    <w:link w:val="20"/>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6"/>
    <w:unhideWhenUsed/>
    <w:qFormat/>
    <w:uiPriority w:val="99"/>
    <w:pPr>
      <w:spacing w:after="120" w:line="480" w:lineRule="auto"/>
    </w:pPr>
    <w:rPr>
      <w:rFonts w:ascii="Times New Roman" w:hAnsi="Times New Roman" w:eastAsia="宋体"/>
      <w:sz w:val="21"/>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Emphasis"/>
    <w:basedOn w:val="13"/>
    <w:qFormat/>
    <w:uiPriority w:val="20"/>
    <w:rPr>
      <w:i/>
      <w:iCs/>
    </w:rPr>
  </w:style>
  <w:style w:type="character" w:customStyle="1" w:styleId="16">
    <w:name w:val="标题 3 Char"/>
    <w:basedOn w:val="13"/>
    <w:link w:val="3"/>
    <w:semiHidden/>
    <w:qFormat/>
    <w:uiPriority w:val="9"/>
    <w:rPr>
      <w:rFonts w:ascii="仿宋_GB2312" w:hAnsi="Calibri" w:eastAsia="仿宋_GB2312" w:cs="Times New Roman"/>
      <w:b/>
      <w:sz w:val="32"/>
    </w:rPr>
  </w:style>
  <w:style w:type="character" w:customStyle="1" w:styleId="17">
    <w:name w:val="页眉 Char"/>
    <w:basedOn w:val="13"/>
    <w:link w:val="8"/>
    <w:qFormat/>
    <w:uiPriority w:val="99"/>
    <w:rPr>
      <w:rFonts w:ascii="仿宋_GB2312" w:hAnsi="Calibri" w:eastAsia="仿宋_GB2312" w:cs="Times New Roman"/>
      <w:sz w:val="18"/>
      <w:szCs w:val="18"/>
    </w:rPr>
  </w:style>
  <w:style w:type="character" w:customStyle="1" w:styleId="18">
    <w:name w:val="页脚 Char"/>
    <w:basedOn w:val="13"/>
    <w:link w:val="7"/>
    <w:qFormat/>
    <w:uiPriority w:val="99"/>
    <w:rPr>
      <w:rFonts w:ascii="仿宋_GB2312" w:hAnsi="Calibri" w:eastAsia="仿宋_GB2312" w:cs="Times New Roman"/>
      <w:sz w:val="18"/>
      <w:szCs w:val="18"/>
    </w:rPr>
  </w:style>
  <w:style w:type="paragraph" w:customStyle="1" w:styleId="19">
    <w:name w:val="UserStyle_0"/>
    <w:basedOn w:val="1"/>
    <w:qFormat/>
    <w:uiPriority w:val="0"/>
    <w:pPr>
      <w:widowControl/>
      <w:suppressAutoHyphens/>
      <w:spacing w:line="600" w:lineRule="exact"/>
      <w:ind w:firstLine="640" w:firstLineChars="200"/>
      <w:textAlignment w:val="baseline"/>
    </w:pPr>
    <w:rPr>
      <w:rFonts w:hAnsi="仿宋_GB2312" w:cs="仿宋_GB2312"/>
      <w:szCs w:val="21"/>
    </w:rPr>
  </w:style>
  <w:style w:type="character" w:customStyle="1" w:styleId="20">
    <w:name w:val="批注框文本 Char"/>
    <w:basedOn w:val="13"/>
    <w:link w:val="6"/>
    <w:semiHidden/>
    <w:qFormat/>
    <w:uiPriority w:val="99"/>
    <w:rPr>
      <w:rFonts w:ascii="仿宋_GB2312" w:hAnsi="Calibri" w:eastAsia="仿宋_GB2312" w:cs="Times New Roman"/>
      <w:kern w:val="2"/>
      <w:sz w:val="18"/>
      <w:szCs w:val="18"/>
    </w:rPr>
  </w:style>
  <w:style w:type="character" w:customStyle="1" w:styleId="21">
    <w:name w:val="标题 1 Char"/>
    <w:basedOn w:val="13"/>
    <w:link w:val="2"/>
    <w:qFormat/>
    <w:uiPriority w:val="9"/>
    <w:rPr>
      <w:rFonts w:ascii="仿宋_GB2312" w:hAnsi="Calibri" w:eastAsia="仿宋_GB2312" w:cs="Times New Roman"/>
      <w:b/>
      <w:bCs/>
      <w:kern w:val="44"/>
      <w:sz w:val="44"/>
      <w:szCs w:val="44"/>
    </w:rPr>
  </w:style>
  <w:style w:type="paragraph" w:styleId="22">
    <w:name w:val="List Paragraph"/>
    <w:basedOn w:val="1"/>
    <w:qFormat/>
    <w:uiPriority w:val="0"/>
    <w:pPr>
      <w:ind w:firstLine="420" w:firstLineChars="200"/>
    </w:pPr>
    <w:rPr>
      <w:rFonts w:ascii="Times New Roman" w:hAnsi="Times New Roman" w:eastAsia="宋体"/>
      <w:sz w:val="21"/>
      <w:szCs w:val="21"/>
    </w:rPr>
  </w:style>
  <w:style w:type="paragraph" w:customStyle="1" w:styleId="23">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 w:type="table" w:customStyle="1" w:styleId="24">
    <w:name w:val="Table Normal"/>
    <w:semiHidden/>
    <w:unhideWhenUsed/>
    <w:qFormat/>
    <w:uiPriority w:val="0"/>
    <w:rPr>
      <w:rFonts w:ascii="Arial" w:hAnsi="Arial" w:eastAsia="宋体" w:cs="Arial"/>
      <w:snapToGrid w:val="0"/>
      <w:color w:val="000000"/>
      <w:szCs w:val="21"/>
      <w:lang w:eastAsia="en-US"/>
    </w:rPr>
    <w:tblPr>
      <w:tblCellMar>
        <w:top w:w="0" w:type="dxa"/>
        <w:left w:w="0" w:type="dxa"/>
        <w:bottom w:w="0" w:type="dxa"/>
        <w:right w:w="0" w:type="dxa"/>
      </w:tblCellMar>
    </w:tblPr>
  </w:style>
  <w:style w:type="character" w:customStyle="1" w:styleId="25">
    <w:name w:val="NormalCharacter"/>
    <w:qFormat/>
    <w:uiPriority w:val="0"/>
  </w:style>
  <w:style w:type="character" w:customStyle="1" w:styleId="26">
    <w:name w:val="正文文本 2 Char"/>
    <w:basedOn w:val="13"/>
    <w:link w:val="9"/>
    <w:qFormat/>
    <w:uiPriority w:val="99"/>
    <w:rPr>
      <w:rFonts w:ascii="Times New Roman" w:hAnsi="Times New Roman" w:eastAsia="宋体" w:cs="Times New Roman"/>
      <w:kern w:val="2"/>
      <w:sz w:val="21"/>
      <w:szCs w:val="22"/>
    </w:rPr>
  </w:style>
  <w:style w:type="character" w:customStyle="1" w:styleId="27">
    <w:name w:val="正文文本缩进 Char"/>
    <w:basedOn w:val="13"/>
    <w:link w:val="4"/>
    <w:qFormat/>
    <w:uiPriority w:val="99"/>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818</Words>
  <Characters>4665</Characters>
  <Lines>38</Lines>
  <Paragraphs>10</Paragraphs>
  <TotalTime>7</TotalTime>
  <ScaleCrop>false</ScaleCrop>
  <LinksUpToDate>false</LinksUpToDate>
  <CharactersWithSpaces>5473</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2026-02-10T16:17:00Z</dcterms:created>
  <dc:creator>蒋佳艳</dc:creator>
  <cp:lastModifiedBy>"施佳禄"</cp:lastModifiedBy>
  <cp:lastPrinted>2026-02-06T15:04:00Z</cp:lastPrinted>
  <dcterms:modified xsi:type="dcterms:W3CDTF">2026-03-02T11:10:10Z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4B108866458E461CBB1C4B4927E1FCC9_12</vt:lpwstr>
  </property>
</Properties>
</file>