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45D0" w:rsidRDefault="00AD45D0" w:rsidP="00AD45D0">
      <w:pPr>
        <w:wordWrap w:val="0"/>
        <w:spacing w:line="600" w:lineRule="atLeast"/>
        <w:ind w:right="1328"/>
        <w:rPr>
          <w:rFonts w:ascii="Times New Roman" w:eastAsia="仿宋_GB2312" w:hAnsi="Times New Roman"/>
          <w:spacing w:val="6"/>
          <w:sz w:val="32"/>
          <w:szCs w:val="32"/>
        </w:rPr>
      </w:pPr>
      <w:r>
        <w:rPr>
          <w:rFonts w:ascii="Times New Roman" w:eastAsia="仿宋_GB2312" w:hAnsi="Times New Roman" w:hint="eastAsia"/>
          <w:spacing w:val="6"/>
          <w:sz w:val="32"/>
          <w:szCs w:val="32"/>
        </w:rPr>
        <w:t>附件</w:t>
      </w:r>
      <w:r>
        <w:rPr>
          <w:rFonts w:ascii="Times New Roman" w:eastAsia="仿宋_GB2312" w:hAnsi="Times New Roman" w:hint="eastAsia"/>
          <w:spacing w:val="6"/>
          <w:sz w:val="32"/>
          <w:szCs w:val="32"/>
        </w:rPr>
        <w:t>1</w:t>
      </w:r>
    </w:p>
    <w:p w:rsidR="00AD45D0" w:rsidRPr="00113973" w:rsidRDefault="00AD45D0" w:rsidP="00AD45D0">
      <w:pPr>
        <w:pStyle w:val="2"/>
        <w:spacing w:line="560" w:lineRule="exact"/>
        <w:jc w:val="center"/>
        <w:rPr>
          <w:rFonts w:ascii="黑体" w:eastAsia="黑体" w:hAnsiTheme="minorHAnsi" w:cstheme="minorBidi"/>
          <w:w w:val="110"/>
          <w:sz w:val="36"/>
          <w:szCs w:val="28"/>
        </w:rPr>
      </w:pPr>
      <w:r w:rsidRPr="00113973">
        <w:rPr>
          <w:rFonts w:ascii="黑体" w:eastAsia="黑体" w:hAnsiTheme="minorHAnsi" w:cstheme="minorBidi" w:hint="eastAsia"/>
          <w:w w:val="110"/>
          <w:sz w:val="36"/>
          <w:szCs w:val="28"/>
        </w:rPr>
        <w:t>《上海市绿化行政许可（协助）审核若干规定》（</w:t>
      </w:r>
      <w:r>
        <w:rPr>
          <w:rFonts w:ascii="黑体" w:eastAsia="黑体" w:hAnsiTheme="minorHAnsi" w:cstheme="minorBidi" w:hint="eastAsia"/>
          <w:w w:val="110"/>
          <w:sz w:val="36"/>
          <w:szCs w:val="28"/>
        </w:rPr>
        <w:t>修订</w:t>
      </w:r>
      <w:r w:rsidRPr="00113973">
        <w:rPr>
          <w:rFonts w:ascii="黑体" w:eastAsia="黑体" w:hAnsiTheme="minorHAnsi" w:cstheme="minorBidi" w:hint="eastAsia"/>
          <w:w w:val="110"/>
          <w:sz w:val="36"/>
          <w:szCs w:val="28"/>
        </w:rPr>
        <w:t>稿）</w:t>
      </w:r>
    </w:p>
    <w:p w:rsidR="00AD45D0" w:rsidRDefault="00AD45D0" w:rsidP="00AD45D0">
      <w:pPr>
        <w:adjustRightInd w:val="0"/>
        <w:snapToGrid w:val="0"/>
        <w:spacing w:beforeLines="50" w:line="360" w:lineRule="auto"/>
        <w:ind w:firstLineChars="200" w:firstLine="613"/>
        <w:rPr>
          <w:rFonts w:ascii="黑体" w:eastAsia="黑体"/>
          <w:w w:val="110"/>
          <w:sz w:val="28"/>
          <w:szCs w:val="28"/>
        </w:rPr>
      </w:pP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第一条</w:t>
      </w:r>
      <w:r>
        <w:rPr>
          <w:rFonts w:ascii="黑体" w:eastAsia="黑体" w:hint="eastAsia"/>
          <w:w w:val="110"/>
          <w:sz w:val="28"/>
          <w:szCs w:val="28"/>
        </w:rPr>
        <w:t xml:space="preserve"> </w:t>
      </w:r>
      <w:r w:rsidRPr="00402618">
        <w:rPr>
          <w:rFonts w:ascii="黑体" w:eastAsia="黑体" w:hint="eastAsia"/>
          <w:w w:val="110"/>
          <w:sz w:val="28"/>
          <w:szCs w:val="28"/>
        </w:rPr>
        <w:t>目的和依据</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为了进一步推进绿化行业行政许可</w:t>
      </w:r>
      <w:r>
        <w:rPr>
          <w:rFonts w:ascii="仿宋_GB2312" w:eastAsia="仿宋_GB2312" w:hAnsi="仿宋" w:cs="宋体" w:hint="eastAsia"/>
          <w:w w:val="90"/>
          <w:kern w:val="0"/>
          <w:sz w:val="28"/>
          <w:szCs w:val="28"/>
        </w:rPr>
        <w:t>（协助）</w:t>
      </w:r>
      <w:r w:rsidRPr="00402618">
        <w:rPr>
          <w:rFonts w:ascii="仿宋_GB2312" w:eastAsia="仿宋_GB2312" w:hAnsi="仿宋" w:cs="宋体" w:hint="eastAsia"/>
          <w:w w:val="90"/>
          <w:kern w:val="0"/>
          <w:sz w:val="28"/>
          <w:szCs w:val="28"/>
        </w:rPr>
        <w:t>审核标准化工作，规范行政许可行为，根据《中华人民共和国行政许可法》《上海市绿化条例》等法律法规和有关技术规范的规定，结合本市实际，制定本规定。</w:t>
      </w: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第二条</w:t>
      </w:r>
      <w:r>
        <w:rPr>
          <w:rFonts w:ascii="黑体" w:eastAsia="黑体" w:hint="eastAsia"/>
          <w:w w:val="110"/>
          <w:sz w:val="28"/>
          <w:szCs w:val="28"/>
        </w:rPr>
        <w:t xml:space="preserve"> </w:t>
      </w:r>
      <w:r w:rsidRPr="00402618">
        <w:rPr>
          <w:rFonts w:ascii="黑体" w:eastAsia="黑体" w:hint="eastAsia"/>
          <w:w w:val="110"/>
          <w:sz w:val="28"/>
          <w:szCs w:val="28"/>
        </w:rPr>
        <w:t>适用范围</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本规定适用于市、区绿化管理部门对以下内容的审核：</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（一）迁移、砍伐树木；</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（二）临时使用绿地；</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（三）占用已建成绿地；</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（四）调整已建成公共绿地内部布局；</w:t>
      </w:r>
    </w:p>
    <w:p w:rsidR="00AD45D0" w:rsidRPr="004F616E"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F616E">
        <w:rPr>
          <w:rFonts w:ascii="仿宋_GB2312" w:eastAsia="仿宋_GB2312" w:hAnsi="仿宋" w:cs="宋体" w:hint="eastAsia"/>
          <w:w w:val="90"/>
          <w:kern w:val="0"/>
          <w:sz w:val="28"/>
          <w:szCs w:val="28"/>
        </w:rPr>
        <w:t>（五）建设项目配套绿化比例审核；</w:t>
      </w:r>
    </w:p>
    <w:p w:rsidR="00AD45D0" w:rsidRPr="004F616E" w:rsidDel="00140130"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F616E">
        <w:rPr>
          <w:rFonts w:ascii="仿宋_GB2312" w:eastAsia="仿宋_GB2312" w:hAnsi="仿宋" w:cs="宋体" w:hint="eastAsia"/>
          <w:w w:val="90"/>
          <w:kern w:val="0"/>
          <w:sz w:val="28"/>
          <w:szCs w:val="28"/>
        </w:rPr>
        <w:t>（六）建设项目配套绿化竣工验收。</w:t>
      </w: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第三条</w:t>
      </w:r>
      <w:r>
        <w:rPr>
          <w:rFonts w:ascii="黑体" w:eastAsia="黑体" w:hint="eastAsia"/>
          <w:w w:val="110"/>
          <w:sz w:val="28"/>
          <w:szCs w:val="28"/>
        </w:rPr>
        <w:t xml:space="preserve"> </w:t>
      </w:r>
      <w:r w:rsidRPr="00402618">
        <w:rPr>
          <w:rFonts w:ascii="黑体" w:eastAsia="黑体" w:hint="eastAsia"/>
          <w:w w:val="110"/>
          <w:sz w:val="28"/>
          <w:szCs w:val="28"/>
        </w:rPr>
        <w:t>古树名木及古树后续资源的迁移</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禁止移植树龄在三百年以上的一级保护的古树，以及树龄在一百年以上的名木。</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古树名</w:t>
      </w:r>
      <w:proofErr w:type="gramStart"/>
      <w:r w:rsidRPr="00402618">
        <w:rPr>
          <w:rFonts w:ascii="仿宋_GB2312" w:eastAsia="仿宋_GB2312" w:hAnsi="仿宋" w:cs="宋体" w:hint="eastAsia"/>
          <w:w w:val="90"/>
          <w:kern w:val="0"/>
          <w:sz w:val="28"/>
          <w:szCs w:val="28"/>
        </w:rPr>
        <w:t>木或者</w:t>
      </w:r>
      <w:proofErr w:type="gramEnd"/>
      <w:r w:rsidRPr="00402618">
        <w:rPr>
          <w:rFonts w:ascii="仿宋_GB2312" w:eastAsia="仿宋_GB2312" w:hAnsi="仿宋" w:cs="宋体" w:hint="eastAsia"/>
          <w:w w:val="90"/>
          <w:kern w:val="0"/>
          <w:sz w:val="28"/>
          <w:szCs w:val="28"/>
        </w:rPr>
        <w:t>古树后续资源涉及以下情形确需移植的，应当编制实施方案并就近移植：</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（一）因轨道交通、隧道、高速公路、跨江跨海大桥等城市重大基础设施建设，确需移植树龄在一百年以上三百年以下的二级保护的古树、或者树龄在一百年以下的名木；</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lastRenderedPageBreak/>
        <w:t>（二）因市重大工程项目或者城市基础设施建设，需要移植树龄在八十年以上一百年以下的古树后续资源。</w:t>
      </w:r>
    </w:p>
    <w:p w:rsidR="00AD45D0" w:rsidRPr="00D37831" w:rsidRDefault="00AD45D0" w:rsidP="00AD45D0">
      <w:pPr>
        <w:adjustRightInd w:val="0"/>
        <w:snapToGrid w:val="0"/>
        <w:spacing w:beforeLines="50" w:line="360" w:lineRule="auto"/>
        <w:ind w:firstLineChars="200" w:firstLine="613"/>
        <w:rPr>
          <w:rFonts w:ascii="黑体" w:eastAsia="黑体"/>
          <w:w w:val="110"/>
          <w:sz w:val="28"/>
          <w:szCs w:val="28"/>
        </w:rPr>
      </w:pPr>
      <w:r w:rsidRPr="00D37831">
        <w:rPr>
          <w:rFonts w:ascii="黑体" w:eastAsia="黑体" w:hint="eastAsia"/>
          <w:w w:val="110"/>
          <w:sz w:val="28"/>
          <w:szCs w:val="28"/>
        </w:rPr>
        <w:t>第四条 树木迁移</w:t>
      </w:r>
    </w:p>
    <w:p w:rsidR="00AD45D0" w:rsidRPr="00D37831"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D37831">
        <w:rPr>
          <w:rFonts w:ascii="仿宋_GB2312" w:eastAsia="仿宋_GB2312" w:hAnsi="仿宋" w:cs="宋体" w:hint="eastAsia"/>
          <w:w w:val="90"/>
          <w:kern w:val="0"/>
          <w:sz w:val="28"/>
          <w:szCs w:val="28"/>
        </w:rPr>
        <w:t>树龄在八十年以下的树木，按照以下要求报区绿化管理部门审批。其中，胸径二十五公分以下的树木，由区绿化部门审批，胸径二十五公分以上的树木，由市绿化部门委托区绿化部门审批。</w:t>
      </w:r>
    </w:p>
    <w:p w:rsidR="00AD45D0" w:rsidRPr="00D37831"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D37831">
        <w:rPr>
          <w:rFonts w:ascii="仿宋_GB2312" w:eastAsia="仿宋_GB2312" w:hAnsi="仿宋" w:cs="宋体" w:hint="eastAsia"/>
          <w:w w:val="90"/>
          <w:kern w:val="0"/>
          <w:sz w:val="28"/>
          <w:szCs w:val="28"/>
        </w:rPr>
        <w:t>（一）位于建筑物、构筑物建设范围内，且无法避让的，可以迁移，胸径较大的，应当就近迁移；位于新建道路红线范围内的，可以迁移；</w:t>
      </w:r>
    </w:p>
    <w:p w:rsidR="00AD45D0" w:rsidRPr="00D37831"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D37831">
        <w:rPr>
          <w:rFonts w:ascii="仿宋_GB2312" w:eastAsia="仿宋_GB2312" w:hAnsi="仿宋" w:cs="宋体" w:hint="eastAsia"/>
          <w:w w:val="90"/>
          <w:kern w:val="0"/>
          <w:sz w:val="28"/>
          <w:szCs w:val="28"/>
        </w:rPr>
        <w:t>（二）位于居住区内的绿化迁移，依照《上海市居住区绿化调整实施办法》规定；</w:t>
      </w:r>
    </w:p>
    <w:p w:rsidR="00AD45D0" w:rsidRPr="00D37831"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D37831">
        <w:rPr>
          <w:rFonts w:ascii="仿宋_GB2312" w:eastAsia="仿宋_GB2312" w:hAnsi="仿宋" w:cs="宋体" w:hint="eastAsia"/>
          <w:w w:val="90"/>
          <w:kern w:val="0"/>
          <w:sz w:val="28"/>
          <w:szCs w:val="28"/>
        </w:rPr>
        <w:t>（三）属于行道树的，道路拓宽时，应尽可能予以避让，确实无法避让的，位于规划车行道上的行道树，可以迁移；位于道路红线</w:t>
      </w:r>
      <w:proofErr w:type="gramStart"/>
      <w:r w:rsidRPr="00D37831">
        <w:rPr>
          <w:rFonts w:ascii="仿宋_GB2312" w:eastAsia="仿宋_GB2312" w:hAnsi="仿宋" w:cs="宋体" w:hint="eastAsia"/>
          <w:w w:val="90"/>
          <w:kern w:val="0"/>
          <w:sz w:val="28"/>
          <w:szCs w:val="28"/>
        </w:rPr>
        <w:t>范围内但可辟为</w:t>
      </w:r>
      <w:proofErr w:type="gramEnd"/>
      <w:r w:rsidRPr="00D37831">
        <w:rPr>
          <w:rFonts w:ascii="仿宋_GB2312" w:eastAsia="仿宋_GB2312" w:hAnsi="仿宋" w:cs="宋体" w:hint="eastAsia"/>
          <w:w w:val="90"/>
          <w:kern w:val="0"/>
          <w:sz w:val="28"/>
          <w:szCs w:val="28"/>
        </w:rPr>
        <w:t>绿化隔离带的行道树，应当保留；在人行道上开设宽度不超过</w:t>
      </w:r>
      <w:smartTag w:uri="urn:schemas-microsoft-com:office:smarttags" w:element="chmetcnv">
        <w:smartTagPr>
          <w:attr w:name="UnitName" w:val="米"/>
          <w:attr w:name="SourceValue" w:val="6"/>
          <w:attr w:name="HasSpace" w:val="False"/>
          <w:attr w:name="Negative" w:val="False"/>
          <w:attr w:name="NumberType" w:val="3"/>
          <w:attr w:name="TCSC" w:val="1"/>
        </w:smartTagPr>
        <w:r w:rsidRPr="00D37831">
          <w:rPr>
            <w:rFonts w:ascii="仿宋_GB2312" w:eastAsia="仿宋_GB2312" w:hAnsi="仿宋" w:cs="宋体" w:hint="eastAsia"/>
            <w:w w:val="90"/>
            <w:kern w:val="0"/>
            <w:sz w:val="28"/>
            <w:szCs w:val="28"/>
          </w:rPr>
          <w:t>六米</w:t>
        </w:r>
      </w:smartTag>
      <w:r w:rsidRPr="00D37831">
        <w:rPr>
          <w:rFonts w:ascii="仿宋_GB2312" w:eastAsia="仿宋_GB2312" w:hAnsi="仿宋" w:cs="宋体" w:hint="eastAsia"/>
          <w:w w:val="90"/>
          <w:kern w:val="0"/>
          <w:sz w:val="28"/>
          <w:szCs w:val="28"/>
        </w:rPr>
        <w:t>的单向车行通道，应当避让，确实无法避让的，可以迁移一株；在人行道上开设宽度在</w:t>
      </w:r>
      <w:smartTag w:uri="urn:schemas-microsoft-com:office:smarttags" w:element="chmetcnv">
        <w:smartTagPr>
          <w:attr w:name="UnitName" w:val="米"/>
          <w:attr w:name="SourceValue" w:val="6"/>
          <w:attr w:name="HasSpace" w:val="False"/>
          <w:attr w:name="Negative" w:val="False"/>
          <w:attr w:name="NumberType" w:val="3"/>
          <w:attr w:name="TCSC" w:val="1"/>
        </w:smartTagPr>
        <w:r w:rsidRPr="00D37831">
          <w:rPr>
            <w:rFonts w:ascii="仿宋_GB2312" w:eastAsia="仿宋_GB2312" w:hAnsi="仿宋" w:cs="宋体" w:hint="eastAsia"/>
            <w:w w:val="90"/>
            <w:kern w:val="0"/>
            <w:sz w:val="28"/>
            <w:szCs w:val="28"/>
          </w:rPr>
          <w:t>六米</w:t>
        </w:r>
      </w:smartTag>
      <w:r w:rsidRPr="00D37831">
        <w:rPr>
          <w:rFonts w:ascii="仿宋_GB2312" w:eastAsia="仿宋_GB2312" w:hAnsi="仿宋" w:cs="宋体" w:hint="eastAsia"/>
          <w:w w:val="90"/>
          <w:kern w:val="0"/>
          <w:sz w:val="28"/>
          <w:szCs w:val="28"/>
        </w:rPr>
        <w:t>以上</w:t>
      </w:r>
      <w:smartTag w:uri="urn:schemas-microsoft-com:office:smarttags" w:element="chmetcnv">
        <w:smartTagPr>
          <w:attr w:name="UnitName" w:val="米"/>
          <w:attr w:name="SourceValue" w:val="10"/>
          <w:attr w:name="HasSpace" w:val="False"/>
          <w:attr w:name="Negative" w:val="False"/>
          <w:attr w:name="NumberType" w:val="3"/>
          <w:attr w:name="TCSC" w:val="1"/>
        </w:smartTagPr>
        <w:r w:rsidRPr="00D37831">
          <w:rPr>
            <w:rFonts w:ascii="仿宋_GB2312" w:eastAsia="仿宋_GB2312" w:hAnsi="仿宋" w:cs="宋体" w:hint="eastAsia"/>
            <w:w w:val="90"/>
            <w:kern w:val="0"/>
            <w:sz w:val="28"/>
            <w:szCs w:val="28"/>
          </w:rPr>
          <w:t>十米</w:t>
        </w:r>
      </w:smartTag>
      <w:r w:rsidRPr="00D37831">
        <w:rPr>
          <w:rFonts w:ascii="仿宋_GB2312" w:eastAsia="仿宋_GB2312" w:hAnsi="仿宋" w:cs="宋体" w:hint="eastAsia"/>
          <w:w w:val="90"/>
          <w:kern w:val="0"/>
          <w:sz w:val="28"/>
          <w:szCs w:val="28"/>
        </w:rPr>
        <w:t>以内的双向车行通道，可以迁移二株以下；开设与人行道交叉的人行通道时，应当避让；</w:t>
      </w:r>
    </w:p>
    <w:p w:rsidR="00AD45D0" w:rsidRPr="00D37831"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D37831">
        <w:rPr>
          <w:rFonts w:ascii="仿宋_GB2312" w:eastAsia="仿宋_GB2312" w:hAnsi="仿宋" w:cs="宋体" w:hint="eastAsia"/>
          <w:w w:val="90"/>
          <w:kern w:val="0"/>
          <w:sz w:val="28"/>
          <w:szCs w:val="28"/>
        </w:rPr>
        <w:t>（四）对因通透交通指示标识、建筑立面、商店招牌等需要提出的树木迁移申请，不予批准，以疏枝、修剪为主；但位于道路弯道处、交叉道口以及衔接道路的各种出入口，胸径二十五厘米以下且严重影响交通信号灯与交通标志视线的，可以迁移；</w:t>
      </w:r>
    </w:p>
    <w:p w:rsidR="00AD45D0" w:rsidRPr="00D37831"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D37831">
        <w:rPr>
          <w:rFonts w:ascii="仿宋_GB2312" w:eastAsia="仿宋_GB2312" w:hAnsi="仿宋" w:cs="宋体" w:hint="eastAsia"/>
          <w:w w:val="90"/>
          <w:kern w:val="0"/>
          <w:sz w:val="28"/>
          <w:szCs w:val="28"/>
        </w:rPr>
        <w:t>（五）对人身安全或者其它设施构成威胁的，可以迁移。</w:t>
      </w:r>
    </w:p>
    <w:p w:rsidR="00AD45D0"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w:t>
      </w:r>
      <w:r>
        <w:rPr>
          <w:rFonts w:ascii="黑体" w:eastAsia="黑体" w:hint="eastAsia"/>
          <w:w w:val="110"/>
          <w:sz w:val="28"/>
          <w:szCs w:val="28"/>
        </w:rPr>
        <w:t>五</w:t>
      </w:r>
      <w:r w:rsidRPr="00402618">
        <w:rPr>
          <w:rFonts w:ascii="黑体" w:eastAsia="黑体" w:hint="eastAsia"/>
          <w:w w:val="110"/>
          <w:sz w:val="28"/>
          <w:szCs w:val="28"/>
        </w:rPr>
        <w:t>条</w:t>
      </w:r>
      <w:r>
        <w:rPr>
          <w:rFonts w:ascii="黑体" w:eastAsia="黑体" w:hint="eastAsia"/>
          <w:w w:val="110"/>
          <w:sz w:val="28"/>
          <w:szCs w:val="28"/>
        </w:rPr>
        <w:t xml:space="preserve"> </w:t>
      </w:r>
      <w:r w:rsidRPr="00402618">
        <w:rPr>
          <w:rFonts w:ascii="黑体" w:eastAsia="黑体" w:hint="eastAsia"/>
          <w:w w:val="110"/>
          <w:sz w:val="28"/>
          <w:szCs w:val="28"/>
        </w:rPr>
        <w:t>树木砍伐</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砍伐树木的审核应符合下列情形：</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（一）树木严重影响居民采光、通风和居住安全，且无迁移价值的；</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w:t>
      </w:r>
      <w:r>
        <w:rPr>
          <w:rFonts w:ascii="仿宋_GB2312" w:eastAsia="仿宋_GB2312" w:hAnsi="仿宋" w:cs="宋体" w:hint="eastAsia"/>
          <w:w w:val="90"/>
          <w:kern w:val="0"/>
          <w:sz w:val="28"/>
          <w:szCs w:val="28"/>
        </w:rPr>
        <w:t>二</w:t>
      </w:r>
      <w:r w:rsidRPr="00402618">
        <w:rPr>
          <w:rFonts w:ascii="仿宋_GB2312" w:eastAsia="仿宋_GB2312" w:hAnsi="仿宋" w:cs="宋体" w:hint="eastAsia"/>
          <w:w w:val="90"/>
          <w:kern w:val="0"/>
          <w:sz w:val="28"/>
          <w:szCs w:val="28"/>
        </w:rPr>
        <w:t>）树木对人身安全或者其他设施构成威胁，且无迁移价值的；</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lastRenderedPageBreak/>
        <w:t>（</w:t>
      </w:r>
      <w:r>
        <w:rPr>
          <w:rFonts w:ascii="仿宋_GB2312" w:eastAsia="仿宋_GB2312" w:hAnsi="仿宋" w:cs="宋体" w:hint="eastAsia"/>
          <w:w w:val="90"/>
          <w:kern w:val="0"/>
          <w:sz w:val="28"/>
          <w:szCs w:val="28"/>
        </w:rPr>
        <w:t>三</w:t>
      </w:r>
      <w:r w:rsidRPr="00402618">
        <w:rPr>
          <w:rFonts w:ascii="仿宋_GB2312" w:eastAsia="仿宋_GB2312" w:hAnsi="仿宋" w:cs="宋体" w:hint="eastAsia"/>
          <w:w w:val="90"/>
          <w:kern w:val="0"/>
          <w:sz w:val="28"/>
          <w:szCs w:val="28"/>
        </w:rPr>
        <w:t>）树木发生检疫性病虫害的；</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（四）因树木生长抚育需要，且无迁移价值的。</w:t>
      </w: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w:t>
      </w:r>
      <w:r>
        <w:rPr>
          <w:rFonts w:ascii="黑体" w:eastAsia="黑体" w:hint="eastAsia"/>
          <w:w w:val="110"/>
          <w:sz w:val="28"/>
          <w:szCs w:val="28"/>
        </w:rPr>
        <w:t>六</w:t>
      </w:r>
      <w:r w:rsidRPr="00402618">
        <w:rPr>
          <w:rFonts w:ascii="黑体" w:eastAsia="黑体" w:hint="eastAsia"/>
          <w:w w:val="110"/>
          <w:sz w:val="28"/>
          <w:szCs w:val="28"/>
        </w:rPr>
        <w:t>条</w:t>
      </w:r>
      <w:r>
        <w:rPr>
          <w:rFonts w:ascii="黑体" w:eastAsia="黑体" w:hint="eastAsia"/>
          <w:w w:val="110"/>
          <w:sz w:val="28"/>
          <w:szCs w:val="28"/>
        </w:rPr>
        <w:t xml:space="preserve"> </w:t>
      </w:r>
      <w:r w:rsidRPr="00475092">
        <w:rPr>
          <w:rFonts w:ascii="黑体" w:eastAsia="黑体" w:hint="eastAsia"/>
          <w:w w:val="110"/>
          <w:sz w:val="28"/>
          <w:szCs w:val="28"/>
        </w:rPr>
        <w:t>临时使用绿地</w:t>
      </w:r>
      <w:r w:rsidRPr="00402618">
        <w:rPr>
          <w:rFonts w:ascii="黑体" w:eastAsia="黑体" w:hint="eastAsia"/>
          <w:w w:val="110"/>
          <w:sz w:val="28"/>
          <w:szCs w:val="28"/>
        </w:rPr>
        <w:t>情形和范围</w:t>
      </w:r>
    </w:p>
    <w:p w:rsidR="00AD45D0" w:rsidRPr="006F3A9F"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6F3A9F">
        <w:rPr>
          <w:rFonts w:ascii="仿宋_GB2312" w:eastAsia="仿宋_GB2312" w:hAnsi="仿宋" w:cs="宋体" w:hint="eastAsia"/>
          <w:w w:val="90"/>
          <w:kern w:val="0"/>
          <w:sz w:val="28"/>
          <w:szCs w:val="28"/>
        </w:rPr>
        <w:t>临时使用绿地的审核，符合下列情形的报区绿化管理部门审批。</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（一）市政工程、公共设施建设项目等市重大工程建设或者城市基础设施建设，确需在绿地上临时铺设管线、设置建设设施的；</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（二）在绿地下铺设管线等公共设施，确需开挖绿地的；</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（三）因地下公共设施建设，需要开挖绿地的，临时使用绿地的范围不得大于基坑开挖边线外</w:t>
      </w:r>
      <w:smartTag w:uri="urn:schemas-microsoft-com:office:smarttags" w:element="chmetcnv">
        <w:smartTagPr>
          <w:attr w:name="UnitName" w:val="米"/>
          <w:attr w:name="SourceValue" w:val="5"/>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五米</w:t>
        </w:r>
      </w:smartTag>
      <w:r w:rsidRPr="00402618">
        <w:rPr>
          <w:rFonts w:ascii="仿宋_GB2312" w:eastAsia="仿宋_GB2312" w:hAnsi="仿宋" w:cs="宋体" w:hint="eastAsia"/>
          <w:w w:val="90"/>
          <w:kern w:val="0"/>
          <w:sz w:val="28"/>
          <w:szCs w:val="28"/>
        </w:rPr>
        <w:t>；</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（四）因城市道路或者公路等拓宽，需要设置临时便道，临时便道宽度不得大于原有路幅；</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（五）因建设项目需要开设临时通道，单向车行通道宽度不超过</w:t>
      </w:r>
      <w:smartTag w:uri="urn:schemas-microsoft-com:office:smarttags" w:element="chmetcnv">
        <w:smartTagPr>
          <w:attr w:name="UnitName" w:val="米"/>
          <w:attr w:name="SourceValue" w:val="6"/>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六米</w:t>
        </w:r>
      </w:smartTag>
      <w:r w:rsidRPr="00402618">
        <w:rPr>
          <w:rFonts w:ascii="仿宋_GB2312" w:eastAsia="仿宋_GB2312" w:hAnsi="仿宋" w:cs="宋体" w:hint="eastAsia"/>
          <w:w w:val="90"/>
          <w:kern w:val="0"/>
          <w:sz w:val="28"/>
          <w:szCs w:val="28"/>
        </w:rPr>
        <w:t>，双向车行通道宽度不超过</w:t>
      </w:r>
      <w:smartTag w:uri="urn:schemas-microsoft-com:office:smarttags" w:element="chmetcnv">
        <w:smartTagPr>
          <w:attr w:name="UnitName" w:val="米"/>
          <w:attr w:name="SourceValue" w:val="10"/>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十米</w:t>
        </w:r>
      </w:smartTag>
      <w:r w:rsidRPr="00402618">
        <w:rPr>
          <w:rFonts w:ascii="仿宋_GB2312" w:eastAsia="仿宋_GB2312" w:hAnsi="仿宋" w:cs="宋体" w:hint="eastAsia"/>
          <w:w w:val="90"/>
          <w:kern w:val="0"/>
          <w:sz w:val="28"/>
          <w:szCs w:val="28"/>
        </w:rPr>
        <w:t>；</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（六）因建筑物改建、维修，需要搭设脚手架，其范围距离建筑物外墙不应超过</w:t>
      </w:r>
      <w:smartTag w:uri="urn:schemas-microsoft-com:office:smarttags" w:element="chmetcnv">
        <w:smartTagPr>
          <w:attr w:name="UnitName" w:val="米"/>
          <w:attr w:name="SourceValue" w:val="2"/>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二米</w:t>
        </w:r>
      </w:smartTag>
      <w:r w:rsidRPr="00402618">
        <w:rPr>
          <w:rFonts w:ascii="仿宋_GB2312" w:eastAsia="仿宋_GB2312" w:hAnsi="仿宋" w:cs="宋体" w:hint="eastAsia"/>
          <w:w w:val="90"/>
          <w:kern w:val="0"/>
          <w:sz w:val="28"/>
          <w:szCs w:val="28"/>
        </w:rPr>
        <w:t>。</w:t>
      </w:r>
    </w:p>
    <w:p w:rsidR="00AD45D0"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（七）其他因城市建设确需临时使用绿地的。</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Pr>
          <w:rFonts w:ascii="仿宋_GB2312" w:eastAsia="仿宋_GB2312" w:hAnsi="仿宋" w:cs="宋体" w:hint="eastAsia"/>
          <w:w w:val="90"/>
          <w:kern w:val="0"/>
          <w:sz w:val="28"/>
          <w:szCs w:val="28"/>
        </w:rPr>
        <w:t>临时使用绿地，涉及树木迁移需办理行政许可。</w:t>
      </w: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w:t>
      </w:r>
      <w:r>
        <w:rPr>
          <w:rFonts w:ascii="黑体" w:eastAsia="黑体" w:hint="eastAsia"/>
          <w:w w:val="110"/>
          <w:sz w:val="28"/>
          <w:szCs w:val="28"/>
        </w:rPr>
        <w:t>七</w:t>
      </w:r>
      <w:r w:rsidRPr="00402618">
        <w:rPr>
          <w:rFonts w:ascii="黑体" w:eastAsia="黑体" w:hint="eastAsia"/>
          <w:w w:val="110"/>
          <w:sz w:val="28"/>
          <w:szCs w:val="28"/>
        </w:rPr>
        <w:t>条</w:t>
      </w:r>
      <w:r>
        <w:rPr>
          <w:rFonts w:ascii="黑体" w:eastAsia="黑体" w:hint="eastAsia"/>
          <w:w w:val="110"/>
          <w:sz w:val="28"/>
          <w:szCs w:val="28"/>
        </w:rPr>
        <w:t xml:space="preserve"> </w:t>
      </w:r>
      <w:r w:rsidRPr="00475092">
        <w:rPr>
          <w:rFonts w:ascii="黑体" w:eastAsia="黑体" w:hint="eastAsia"/>
          <w:w w:val="110"/>
          <w:sz w:val="28"/>
          <w:szCs w:val="28"/>
        </w:rPr>
        <w:t>临时使用绿地</w:t>
      </w:r>
      <w:r w:rsidRPr="00402618">
        <w:rPr>
          <w:rFonts w:ascii="黑体" w:eastAsia="黑体" w:hint="eastAsia"/>
          <w:w w:val="110"/>
          <w:sz w:val="28"/>
          <w:szCs w:val="28"/>
        </w:rPr>
        <w:t>期限</w:t>
      </w:r>
    </w:p>
    <w:p w:rsidR="00AD45D0" w:rsidRPr="006F3A9F"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临时使用绿地期限一般不超过一年，确因建设需要延期的，应当办理延</w:t>
      </w:r>
      <w:r w:rsidRPr="006F3A9F">
        <w:rPr>
          <w:rFonts w:ascii="仿宋_GB2312" w:eastAsia="仿宋_GB2312" w:hAnsi="仿宋" w:cs="宋体" w:hint="eastAsia"/>
          <w:w w:val="90"/>
          <w:kern w:val="0"/>
          <w:sz w:val="28"/>
          <w:szCs w:val="28"/>
        </w:rPr>
        <w:t>期手续，延期最长不超过一年。使用期限届满后，申请单位应当恢复绿地，恢复的绿地不得降低原有绿地建设标准。如工程二年内尚未竣工的，需重新办理临时使用绿地申请。</w:t>
      </w: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w:t>
      </w:r>
      <w:r>
        <w:rPr>
          <w:rFonts w:ascii="黑体" w:eastAsia="黑体" w:hint="eastAsia"/>
          <w:w w:val="110"/>
          <w:sz w:val="28"/>
          <w:szCs w:val="28"/>
        </w:rPr>
        <w:t>八</w:t>
      </w:r>
      <w:r w:rsidRPr="00402618">
        <w:rPr>
          <w:rFonts w:ascii="黑体" w:eastAsia="黑体" w:hint="eastAsia"/>
          <w:w w:val="110"/>
          <w:sz w:val="28"/>
          <w:szCs w:val="28"/>
        </w:rPr>
        <w:t>条</w:t>
      </w:r>
      <w:r>
        <w:rPr>
          <w:rFonts w:ascii="黑体" w:eastAsia="黑体" w:hint="eastAsia"/>
          <w:w w:val="110"/>
          <w:sz w:val="28"/>
          <w:szCs w:val="28"/>
        </w:rPr>
        <w:t xml:space="preserve"> </w:t>
      </w:r>
      <w:r w:rsidRPr="00475092">
        <w:rPr>
          <w:rFonts w:ascii="黑体" w:eastAsia="黑体" w:hint="eastAsia"/>
          <w:w w:val="110"/>
          <w:sz w:val="28"/>
          <w:szCs w:val="28"/>
        </w:rPr>
        <w:t>临时使用</w:t>
      </w:r>
      <w:r w:rsidRPr="00402618">
        <w:rPr>
          <w:rFonts w:ascii="黑体" w:eastAsia="黑体" w:hint="eastAsia"/>
          <w:w w:val="110"/>
          <w:sz w:val="28"/>
          <w:szCs w:val="28"/>
        </w:rPr>
        <w:t>绿地</w:t>
      </w:r>
      <w:r>
        <w:rPr>
          <w:rFonts w:ascii="黑体" w:eastAsia="黑体" w:hint="eastAsia"/>
          <w:w w:val="110"/>
          <w:sz w:val="28"/>
          <w:szCs w:val="28"/>
        </w:rPr>
        <w:t>施工和</w:t>
      </w:r>
      <w:r w:rsidRPr="00402618">
        <w:rPr>
          <w:rFonts w:ascii="黑体" w:eastAsia="黑体" w:hint="eastAsia"/>
          <w:w w:val="110"/>
          <w:sz w:val="28"/>
          <w:szCs w:val="28"/>
        </w:rPr>
        <w:t>设施建设</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埋设地下管线、建设地下设施，要确保绿化种植条件，其上缘与绿地表面的垂直距离不小于</w:t>
      </w:r>
      <w:smartTag w:uri="urn:schemas-microsoft-com:office:smarttags" w:element="chmetcnv">
        <w:smartTagPr>
          <w:attr w:name="UnitName" w:val="米"/>
          <w:attr w:name="SourceValue" w:val="1.5"/>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一点五米</w:t>
        </w:r>
      </w:smartTag>
      <w:r w:rsidRPr="00402618">
        <w:rPr>
          <w:rFonts w:ascii="仿宋_GB2312" w:eastAsia="仿宋_GB2312" w:hAnsi="仿宋" w:cs="宋体" w:hint="eastAsia"/>
          <w:w w:val="90"/>
          <w:kern w:val="0"/>
          <w:sz w:val="28"/>
          <w:szCs w:val="28"/>
        </w:rPr>
        <w:t>。</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lastRenderedPageBreak/>
        <w:t>绿地开挖边线与绿地内保留的树木树干外缘的水平距离不小于</w:t>
      </w:r>
      <w:smartTag w:uri="urn:schemas-microsoft-com:office:smarttags" w:element="chmetcnv">
        <w:smartTagPr>
          <w:attr w:name="UnitName" w:val="米"/>
          <w:attr w:name="SourceValue" w:val=".95"/>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零点九五米</w:t>
        </w:r>
      </w:smartTag>
      <w:r w:rsidRPr="00402618">
        <w:rPr>
          <w:rFonts w:ascii="仿宋_GB2312" w:eastAsia="仿宋_GB2312" w:hAnsi="仿宋" w:cs="宋体" w:hint="eastAsia"/>
          <w:w w:val="90"/>
          <w:kern w:val="0"/>
          <w:sz w:val="28"/>
          <w:szCs w:val="28"/>
        </w:rPr>
        <w:t>。</w:t>
      </w: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Pr>
          <w:rFonts w:ascii="黑体" w:eastAsia="黑体" w:hint="eastAsia"/>
          <w:w w:val="110"/>
          <w:sz w:val="28"/>
          <w:szCs w:val="28"/>
        </w:rPr>
        <w:t>第九</w:t>
      </w:r>
      <w:r w:rsidRPr="00402618">
        <w:rPr>
          <w:rFonts w:ascii="黑体" w:eastAsia="黑体" w:hint="eastAsia"/>
          <w:w w:val="110"/>
          <w:sz w:val="28"/>
          <w:szCs w:val="28"/>
        </w:rPr>
        <w:t>条</w:t>
      </w:r>
      <w:r>
        <w:rPr>
          <w:rFonts w:ascii="黑体" w:eastAsia="黑体" w:hint="eastAsia"/>
          <w:w w:val="110"/>
          <w:sz w:val="28"/>
          <w:szCs w:val="28"/>
        </w:rPr>
        <w:t xml:space="preserve"> </w:t>
      </w:r>
      <w:r w:rsidRPr="00475092">
        <w:rPr>
          <w:rFonts w:ascii="黑体" w:eastAsia="黑体" w:hint="eastAsia"/>
          <w:w w:val="110"/>
          <w:sz w:val="28"/>
          <w:szCs w:val="28"/>
        </w:rPr>
        <w:t>占用已建成</w:t>
      </w:r>
      <w:r w:rsidRPr="00402618">
        <w:rPr>
          <w:rFonts w:ascii="黑体" w:eastAsia="黑体" w:hint="eastAsia"/>
          <w:w w:val="110"/>
          <w:sz w:val="28"/>
          <w:szCs w:val="28"/>
        </w:rPr>
        <w:t>绿地的</w:t>
      </w:r>
      <w:r>
        <w:rPr>
          <w:rFonts w:ascii="黑体" w:eastAsia="黑体" w:hint="eastAsia"/>
          <w:w w:val="110"/>
          <w:sz w:val="28"/>
          <w:szCs w:val="28"/>
        </w:rPr>
        <w:t>审核要求</w:t>
      </w:r>
    </w:p>
    <w:p w:rsidR="00AD45D0" w:rsidRPr="00354823"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354823">
        <w:rPr>
          <w:rFonts w:ascii="仿宋_GB2312" w:eastAsia="仿宋_GB2312" w:hAnsi="仿宋" w:cs="宋体"/>
          <w:w w:val="90"/>
          <w:kern w:val="0"/>
          <w:sz w:val="28"/>
          <w:szCs w:val="28"/>
        </w:rPr>
        <w:t>建成的绿地不得擅自占用。因城市规划调整或者城市基础设施建设确需占用的，应当向市绿化管理部门提出申请，并提交占用绿地面积、补偿措施、地形图、权属人意见、相关用地批文、扩初设计批复等材料。其中，道路拓宽占用绿地的，还应当提供道路红线图、综合管线剖面图。</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占用绿地的审核应符合下列情形：</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（一）市政道路拓宽；</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（二）公共设施建设；</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（三）人行道、机非隔离带上开设通道；</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（四</w:t>
      </w:r>
      <w:r w:rsidRPr="00402618">
        <w:rPr>
          <w:rFonts w:ascii="仿宋_GB2312" w:eastAsia="仿宋_GB2312" w:hAnsi="仿宋" w:cs="宋体"/>
          <w:w w:val="90"/>
          <w:kern w:val="0"/>
          <w:sz w:val="28"/>
          <w:szCs w:val="28"/>
        </w:rPr>
        <w:t>）</w:t>
      </w:r>
      <w:r w:rsidRPr="00402618">
        <w:rPr>
          <w:rFonts w:ascii="仿宋_GB2312" w:eastAsia="仿宋_GB2312" w:hAnsi="仿宋" w:cs="宋体" w:hint="eastAsia"/>
          <w:w w:val="90"/>
          <w:kern w:val="0"/>
          <w:sz w:val="28"/>
          <w:szCs w:val="28"/>
        </w:rPr>
        <w:t>其他因城市规划调整或者城市基础设施建设确需占用绿地的。</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其中符合前款第三项情形的，占用绿地面积应符合：</w:t>
      </w:r>
    </w:p>
    <w:p w:rsidR="00AD45D0" w:rsidRPr="00402618" w:rsidRDefault="00AD45D0" w:rsidP="00AD45D0">
      <w:pPr>
        <w:widowControl/>
        <w:numPr>
          <w:ilvl w:val="0"/>
          <w:numId w:val="1"/>
        </w:numPr>
        <w:adjustRightInd w:val="0"/>
        <w:snapToGrid w:val="0"/>
        <w:spacing w:line="360" w:lineRule="auto"/>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单向车行通道，占用绿地宽度不得大于</w:t>
      </w:r>
      <w:smartTag w:uri="urn:schemas-microsoft-com:office:smarttags" w:element="chmetcnv">
        <w:smartTagPr>
          <w:attr w:name="UnitName" w:val="米"/>
          <w:attr w:name="SourceValue" w:val="6"/>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六米</w:t>
        </w:r>
      </w:smartTag>
      <w:r w:rsidRPr="00402618">
        <w:rPr>
          <w:rFonts w:ascii="仿宋_GB2312" w:eastAsia="仿宋_GB2312" w:hAnsi="仿宋" w:cs="宋体" w:hint="eastAsia"/>
          <w:w w:val="90"/>
          <w:kern w:val="0"/>
          <w:sz w:val="28"/>
          <w:szCs w:val="28"/>
        </w:rPr>
        <w:t>；</w:t>
      </w:r>
    </w:p>
    <w:p w:rsidR="00AD45D0" w:rsidRPr="00402618" w:rsidRDefault="00AD45D0" w:rsidP="00AD45D0">
      <w:pPr>
        <w:widowControl/>
        <w:numPr>
          <w:ilvl w:val="0"/>
          <w:numId w:val="1"/>
        </w:numPr>
        <w:adjustRightInd w:val="0"/>
        <w:snapToGrid w:val="0"/>
        <w:spacing w:line="360" w:lineRule="auto"/>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双向车行通道，占用绿地宽度不得大于</w:t>
      </w:r>
      <w:smartTag w:uri="urn:schemas-microsoft-com:office:smarttags" w:element="chmetcnv">
        <w:smartTagPr>
          <w:attr w:name="UnitName" w:val="米"/>
          <w:attr w:name="SourceValue" w:val="10"/>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十米</w:t>
        </w:r>
      </w:smartTag>
      <w:r w:rsidRPr="00402618">
        <w:rPr>
          <w:rFonts w:ascii="仿宋_GB2312" w:eastAsia="仿宋_GB2312" w:hAnsi="仿宋" w:cs="宋体" w:hint="eastAsia"/>
          <w:w w:val="90"/>
          <w:kern w:val="0"/>
          <w:sz w:val="28"/>
          <w:szCs w:val="28"/>
        </w:rPr>
        <w:t>；</w:t>
      </w:r>
    </w:p>
    <w:p w:rsidR="00AD45D0" w:rsidRPr="00402618" w:rsidRDefault="00AD45D0" w:rsidP="00AD45D0">
      <w:pPr>
        <w:widowControl/>
        <w:numPr>
          <w:ilvl w:val="0"/>
          <w:numId w:val="1"/>
        </w:numPr>
        <w:adjustRightInd w:val="0"/>
        <w:snapToGrid w:val="0"/>
        <w:spacing w:line="360" w:lineRule="auto"/>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人行通道，占用绿地宽度不得大于</w:t>
      </w:r>
      <w:smartTag w:uri="urn:schemas-microsoft-com:office:smarttags" w:element="chmetcnv">
        <w:smartTagPr>
          <w:attr w:name="UnitName" w:val="米"/>
          <w:attr w:name="SourceValue" w:val="5"/>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五米</w:t>
        </w:r>
      </w:smartTag>
      <w:r w:rsidRPr="00402618">
        <w:rPr>
          <w:rFonts w:ascii="仿宋_GB2312" w:eastAsia="仿宋_GB2312" w:hAnsi="仿宋" w:cs="宋体" w:hint="eastAsia"/>
          <w:w w:val="90"/>
          <w:kern w:val="0"/>
          <w:sz w:val="28"/>
          <w:szCs w:val="28"/>
        </w:rPr>
        <w:t>。</w:t>
      </w: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第十条</w:t>
      </w:r>
      <w:r>
        <w:rPr>
          <w:rFonts w:ascii="黑体" w:eastAsia="黑体" w:hint="eastAsia"/>
          <w:w w:val="110"/>
          <w:sz w:val="28"/>
          <w:szCs w:val="28"/>
        </w:rPr>
        <w:t xml:space="preserve"> </w:t>
      </w:r>
      <w:r w:rsidRPr="00475092">
        <w:rPr>
          <w:rFonts w:ascii="黑体" w:eastAsia="黑体" w:hint="eastAsia"/>
          <w:w w:val="110"/>
          <w:sz w:val="28"/>
          <w:szCs w:val="28"/>
        </w:rPr>
        <w:t>占用已建成</w:t>
      </w:r>
      <w:r>
        <w:rPr>
          <w:rFonts w:ascii="黑体" w:eastAsia="黑体" w:hint="eastAsia"/>
          <w:w w:val="110"/>
          <w:sz w:val="28"/>
          <w:szCs w:val="28"/>
        </w:rPr>
        <w:t>公共</w:t>
      </w:r>
      <w:r w:rsidRPr="00402618">
        <w:rPr>
          <w:rFonts w:ascii="黑体" w:eastAsia="黑体" w:hint="eastAsia"/>
          <w:w w:val="110"/>
          <w:sz w:val="28"/>
          <w:szCs w:val="28"/>
        </w:rPr>
        <w:t>绿地的补偿</w:t>
      </w:r>
    </w:p>
    <w:p w:rsidR="00AD45D0" w:rsidRPr="00354823"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354823">
        <w:rPr>
          <w:rFonts w:ascii="仿宋_GB2312" w:eastAsia="仿宋_GB2312" w:hAnsi="仿宋" w:cs="宋体"/>
          <w:w w:val="90"/>
          <w:kern w:val="0"/>
          <w:sz w:val="28"/>
          <w:szCs w:val="28"/>
        </w:rPr>
        <w:t>占用公共绿地</w:t>
      </w:r>
      <w:r w:rsidRPr="00354823">
        <w:rPr>
          <w:rFonts w:ascii="仿宋_GB2312" w:eastAsia="仿宋_GB2312" w:hAnsi="仿宋" w:cs="宋体" w:hint="eastAsia"/>
          <w:w w:val="90"/>
          <w:kern w:val="0"/>
          <w:sz w:val="28"/>
          <w:szCs w:val="28"/>
        </w:rPr>
        <w:t>，应当在本区域内、或者相邻街区内补建不少于被占用绿地面积的绿地。其中，因市政道路、轨道交通建设需要占用已建成绿地的，确实无条件在本区域或者相邻街区内补建的,可以在全市范围内补建不少于被占用绿地面积的绿地。</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占用公共绿地确不具备补建条件的</w:t>
      </w:r>
      <w:r>
        <w:rPr>
          <w:rFonts w:ascii="仿宋_GB2312" w:eastAsia="仿宋_GB2312" w:hAnsi="仿宋" w:cs="宋体" w:hint="eastAsia"/>
          <w:w w:val="90"/>
          <w:kern w:val="0"/>
          <w:sz w:val="28"/>
          <w:szCs w:val="28"/>
        </w:rPr>
        <w:t>，</w:t>
      </w:r>
      <w:r w:rsidRPr="00402618">
        <w:rPr>
          <w:rFonts w:ascii="仿宋_GB2312" w:eastAsia="仿宋_GB2312" w:hAnsi="仿宋" w:cs="宋体" w:hint="eastAsia"/>
          <w:w w:val="90"/>
          <w:kern w:val="0"/>
          <w:sz w:val="28"/>
          <w:szCs w:val="28"/>
        </w:rPr>
        <w:t>应当缴纳绿化补偿费和绿地易地补偿费。</w:t>
      </w:r>
    </w:p>
    <w:p w:rsidR="00AD45D0" w:rsidRPr="00354823" w:rsidRDefault="00AD45D0" w:rsidP="00AD45D0">
      <w:pPr>
        <w:adjustRightInd w:val="0"/>
        <w:snapToGrid w:val="0"/>
        <w:spacing w:beforeLines="50" w:line="360" w:lineRule="auto"/>
        <w:ind w:firstLineChars="200" w:firstLine="613"/>
        <w:rPr>
          <w:rFonts w:ascii="黑体" w:eastAsia="黑体"/>
          <w:w w:val="110"/>
          <w:sz w:val="28"/>
          <w:szCs w:val="28"/>
        </w:rPr>
      </w:pPr>
      <w:r w:rsidRPr="00354823">
        <w:rPr>
          <w:rFonts w:ascii="黑体" w:eastAsia="黑体" w:hint="eastAsia"/>
          <w:w w:val="110"/>
          <w:sz w:val="28"/>
          <w:szCs w:val="28"/>
        </w:rPr>
        <w:t>第十</w:t>
      </w:r>
      <w:r>
        <w:rPr>
          <w:rFonts w:ascii="黑体" w:eastAsia="黑体" w:hint="eastAsia"/>
          <w:w w:val="110"/>
          <w:sz w:val="28"/>
          <w:szCs w:val="28"/>
        </w:rPr>
        <w:t>一</w:t>
      </w:r>
      <w:r w:rsidRPr="00354823">
        <w:rPr>
          <w:rFonts w:ascii="黑体" w:eastAsia="黑体" w:hint="eastAsia"/>
          <w:w w:val="110"/>
          <w:sz w:val="28"/>
          <w:szCs w:val="28"/>
        </w:rPr>
        <w:t>条</w:t>
      </w:r>
      <w:r>
        <w:rPr>
          <w:rFonts w:ascii="黑体" w:eastAsia="黑体" w:hint="eastAsia"/>
          <w:w w:val="110"/>
          <w:sz w:val="28"/>
          <w:szCs w:val="28"/>
        </w:rPr>
        <w:t xml:space="preserve"> </w:t>
      </w:r>
      <w:r w:rsidRPr="00354823">
        <w:rPr>
          <w:rFonts w:ascii="黑体" w:eastAsia="黑体" w:hint="eastAsia"/>
          <w:w w:val="110"/>
          <w:sz w:val="28"/>
          <w:szCs w:val="28"/>
        </w:rPr>
        <w:t>调整公共绿地内部布局的含义</w:t>
      </w:r>
    </w:p>
    <w:p w:rsidR="00AD45D0" w:rsidRPr="006F3A9F" w:rsidRDefault="00AD45D0" w:rsidP="00AD45D0">
      <w:pPr>
        <w:adjustRightInd w:val="0"/>
        <w:snapToGrid w:val="0"/>
        <w:spacing w:line="360" w:lineRule="auto"/>
        <w:ind w:firstLineChars="200" w:firstLine="503"/>
        <w:rPr>
          <w:rFonts w:ascii="仿宋_GB2312" w:eastAsia="仿宋_GB2312" w:cs="宋体"/>
          <w:w w:val="90"/>
          <w:kern w:val="0"/>
          <w:sz w:val="28"/>
          <w:szCs w:val="28"/>
          <w:lang w:val="zh-CN"/>
        </w:rPr>
      </w:pPr>
      <w:r w:rsidRPr="006F3A9F">
        <w:rPr>
          <w:rFonts w:ascii="仿宋_GB2312" w:eastAsia="仿宋_GB2312" w:hint="eastAsia"/>
          <w:w w:val="90"/>
          <w:sz w:val="28"/>
          <w:szCs w:val="28"/>
        </w:rPr>
        <w:t>本规定</w:t>
      </w:r>
      <w:r w:rsidRPr="006F3A9F">
        <w:rPr>
          <w:rFonts w:ascii="仿宋_GB2312" w:eastAsia="仿宋_GB2312" w:cs="宋体" w:hint="eastAsia"/>
          <w:w w:val="90"/>
          <w:kern w:val="0"/>
          <w:sz w:val="28"/>
          <w:szCs w:val="28"/>
          <w:lang w:val="zh-CN"/>
        </w:rPr>
        <w:t>所称的调整，是指公共绿地内部布局的优化与完善，包括：</w:t>
      </w:r>
    </w:p>
    <w:p w:rsidR="00AD45D0" w:rsidRPr="00354823" w:rsidRDefault="00AD45D0" w:rsidP="00AD45D0">
      <w:pPr>
        <w:adjustRightInd w:val="0"/>
        <w:snapToGrid w:val="0"/>
        <w:spacing w:line="360" w:lineRule="auto"/>
        <w:ind w:firstLineChars="200" w:firstLine="503"/>
        <w:rPr>
          <w:rFonts w:ascii="仿宋_GB2312" w:eastAsia="仿宋_GB2312" w:cs="宋体"/>
          <w:w w:val="90"/>
          <w:kern w:val="0"/>
          <w:sz w:val="28"/>
          <w:szCs w:val="28"/>
          <w:lang w:val="zh-CN"/>
        </w:rPr>
      </w:pPr>
      <w:r w:rsidRPr="00354823">
        <w:rPr>
          <w:rFonts w:ascii="仿宋_GB2312" w:eastAsia="仿宋_GB2312" w:cs="宋体" w:hint="eastAsia"/>
          <w:w w:val="90"/>
          <w:kern w:val="0"/>
          <w:sz w:val="28"/>
          <w:szCs w:val="28"/>
          <w:lang w:val="zh-CN"/>
        </w:rPr>
        <w:lastRenderedPageBreak/>
        <w:t>（一）内部绿化、建筑物、构筑物、园路和铺装场地等用地比例的变化；</w:t>
      </w:r>
    </w:p>
    <w:p w:rsidR="00AD45D0" w:rsidRPr="00354823" w:rsidRDefault="00AD45D0" w:rsidP="00AD45D0">
      <w:pPr>
        <w:adjustRightInd w:val="0"/>
        <w:snapToGrid w:val="0"/>
        <w:spacing w:line="360" w:lineRule="auto"/>
        <w:ind w:firstLineChars="200" w:firstLine="503"/>
        <w:rPr>
          <w:rFonts w:ascii="仿宋_GB2312" w:eastAsia="仿宋_GB2312"/>
          <w:w w:val="90"/>
          <w:sz w:val="28"/>
          <w:szCs w:val="28"/>
        </w:rPr>
      </w:pPr>
      <w:r w:rsidRPr="00354823">
        <w:rPr>
          <w:rFonts w:ascii="仿宋_GB2312" w:eastAsia="仿宋_GB2312" w:cs="宋体" w:hint="eastAsia"/>
          <w:w w:val="90"/>
          <w:kern w:val="0"/>
          <w:sz w:val="28"/>
          <w:szCs w:val="28"/>
          <w:lang w:val="zh-CN"/>
        </w:rPr>
        <w:t>（二）内部</w:t>
      </w:r>
      <w:r w:rsidRPr="00354823">
        <w:rPr>
          <w:rFonts w:ascii="仿宋_GB2312" w:eastAsia="仿宋_GB2312" w:hint="eastAsia"/>
          <w:w w:val="90"/>
          <w:sz w:val="28"/>
          <w:szCs w:val="28"/>
        </w:rPr>
        <w:t>游憩、服务、公用和管理等设施规模和位置的变化；</w:t>
      </w:r>
    </w:p>
    <w:p w:rsidR="00AD45D0" w:rsidRPr="00354823" w:rsidRDefault="00AD45D0" w:rsidP="00AD45D0">
      <w:pPr>
        <w:adjustRightInd w:val="0"/>
        <w:snapToGrid w:val="0"/>
        <w:spacing w:line="360" w:lineRule="auto"/>
        <w:ind w:firstLineChars="200" w:firstLine="503"/>
        <w:rPr>
          <w:rFonts w:ascii="仿宋_GB2312" w:eastAsia="仿宋_GB2312"/>
          <w:w w:val="90"/>
          <w:sz w:val="28"/>
          <w:szCs w:val="28"/>
        </w:rPr>
      </w:pPr>
      <w:r w:rsidRPr="00354823">
        <w:rPr>
          <w:rFonts w:ascii="仿宋_GB2312" w:eastAsia="仿宋_GB2312" w:hint="eastAsia"/>
          <w:w w:val="90"/>
          <w:sz w:val="28"/>
          <w:szCs w:val="28"/>
        </w:rPr>
        <w:t>（三）原有的游憩、服务、公用和管理等设施、建筑功能的变化。</w:t>
      </w:r>
    </w:p>
    <w:p w:rsidR="00AD45D0" w:rsidRPr="00354823" w:rsidRDefault="00AD45D0" w:rsidP="00AD45D0">
      <w:pPr>
        <w:adjustRightInd w:val="0"/>
        <w:snapToGrid w:val="0"/>
        <w:spacing w:beforeLines="50" w:line="360" w:lineRule="auto"/>
        <w:ind w:firstLineChars="200" w:firstLine="613"/>
        <w:rPr>
          <w:rFonts w:ascii="黑体" w:eastAsia="黑体"/>
          <w:w w:val="110"/>
          <w:sz w:val="28"/>
          <w:szCs w:val="28"/>
        </w:rPr>
      </w:pPr>
      <w:r w:rsidRPr="00354823">
        <w:rPr>
          <w:rFonts w:ascii="黑体" w:eastAsia="黑体" w:hint="eastAsia"/>
          <w:w w:val="110"/>
          <w:sz w:val="28"/>
          <w:szCs w:val="28"/>
        </w:rPr>
        <w:t>第十</w:t>
      </w:r>
      <w:r>
        <w:rPr>
          <w:rFonts w:ascii="黑体" w:eastAsia="黑体" w:hint="eastAsia"/>
          <w:w w:val="110"/>
          <w:sz w:val="28"/>
          <w:szCs w:val="28"/>
        </w:rPr>
        <w:t>二</w:t>
      </w:r>
      <w:r w:rsidRPr="00354823">
        <w:rPr>
          <w:rFonts w:ascii="黑体" w:eastAsia="黑体" w:hint="eastAsia"/>
          <w:w w:val="110"/>
          <w:sz w:val="28"/>
          <w:szCs w:val="28"/>
        </w:rPr>
        <w:t>条</w:t>
      </w:r>
      <w:r>
        <w:rPr>
          <w:rFonts w:ascii="黑体" w:eastAsia="黑体" w:hint="eastAsia"/>
          <w:w w:val="110"/>
          <w:sz w:val="28"/>
          <w:szCs w:val="28"/>
        </w:rPr>
        <w:t xml:space="preserve">  </w:t>
      </w:r>
      <w:r w:rsidRPr="00354823">
        <w:rPr>
          <w:rFonts w:ascii="黑体" w:eastAsia="黑体" w:hint="eastAsia"/>
          <w:w w:val="110"/>
          <w:sz w:val="28"/>
          <w:szCs w:val="28"/>
        </w:rPr>
        <w:t>调整公共绿地内部布局总体要求</w:t>
      </w:r>
    </w:p>
    <w:p w:rsidR="00AD45D0" w:rsidRPr="00354823" w:rsidRDefault="00AD45D0" w:rsidP="00AD45D0">
      <w:pPr>
        <w:adjustRightInd w:val="0"/>
        <w:snapToGrid w:val="0"/>
        <w:spacing w:line="360" w:lineRule="auto"/>
        <w:ind w:firstLineChars="200" w:firstLine="503"/>
        <w:rPr>
          <w:rFonts w:ascii="仿宋_GB2312" w:eastAsia="仿宋_GB2312" w:cs="宋体"/>
          <w:w w:val="90"/>
          <w:kern w:val="0"/>
          <w:sz w:val="28"/>
          <w:szCs w:val="28"/>
          <w:lang w:val="zh-CN"/>
        </w:rPr>
      </w:pPr>
      <w:r w:rsidRPr="00354823">
        <w:rPr>
          <w:rFonts w:ascii="仿宋_GB2312" w:eastAsia="仿宋_GB2312" w:cs="宋体" w:hint="eastAsia"/>
          <w:w w:val="90"/>
          <w:kern w:val="0"/>
          <w:sz w:val="28"/>
          <w:szCs w:val="28"/>
          <w:lang w:val="zh-CN"/>
        </w:rPr>
        <w:t>调整后公共绿地用地性质不得改变，面积不得减少。调整后的公共绿地内部用地比例，应当符合《公园设计规范》（</w:t>
      </w:r>
      <w:r>
        <w:rPr>
          <w:rFonts w:ascii="仿宋_GB2312" w:eastAsia="仿宋_GB2312" w:cs="宋体" w:hint="eastAsia"/>
          <w:w w:val="90"/>
          <w:kern w:val="0"/>
          <w:sz w:val="28"/>
          <w:szCs w:val="28"/>
          <w:lang w:val="zh-CN"/>
        </w:rPr>
        <w:t>GB51192-2016</w:t>
      </w:r>
      <w:r w:rsidRPr="00354823">
        <w:rPr>
          <w:rFonts w:ascii="仿宋_GB2312" w:eastAsia="仿宋_GB2312" w:cs="宋体" w:hint="eastAsia"/>
          <w:w w:val="90"/>
          <w:kern w:val="0"/>
          <w:sz w:val="28"/>
          <w:szCs w:val="28"/>
          <w:lang w:val="zh-CN"/>
        </w:rPr>
        <w:t>）和《城市绿地设计规范》</w:t>
      </w:r>
      <w:r>
        <w:rPr>
          <w:rFonts w:ascii="仿宋_GB2312" w:eastAsia="仿宋_GB2312" w:cs="宋体" w:hint="eastAsia"/>
          <w:w w:val="90"/>
          <w:kern w:val="0"/>
          <w:sz w:val="28"/>
          <w:szCs w:val="28"/>
          <w:lang w:val="zh-CN"/>
        </w:rPr>
        <w:t>（GB 50420-2016）</w:t>
      </w:r>
      <w:r w:rsidRPr="00354823">
        <w:rPr>
          <w:rFonts w:ascii="仿宋_GB2312" w:eastAsia="仿宋_GB2312" w:cs="宋体" w:hint="eastAsia"/>
          <w:w w:val="90"/>
          <w:kern w:val="0"/>
          <w:sz w:val="28"/>
          <w:szCs w:val="28"/>
          <w:lang w:val="zh-CN"/>
        </w:rPr>
        <w:t>的要求。</w:t>
      </w:r>
    </w:p>
    <w:p w:rsidR="00AD45D0" w:rsidRPr="00354823" w:rsidRDefault="00AD45D0" w:rsidP="00AD45D0">
      <w:pPr>
        <w:adjustRightInd w:val="0"/>
        <w:snapToGrid w:val="0"/>
        <w:spacing w:line="360" w:lineRule="auto"/>
        <w:ind w:firstLineChars="200" w:firstLine="503"/>
        <w:rPr>
          <w:rFonts w:ascii="仿宋_GB2312" w:eastAsia="仿宋_GB2312" w:cs="宋体"/>
          <w:w w:val="90"/>
          <w:kern w:val="0"/>
          <w:sz w:val="28"/>
          <w:szCs w:val="28"/>
          <w:lang w:val="zh-CN"/>
        </w:rPr>
      </w:pPr>
      <w:r w:rsidRPr="00354823">
        <w:rPr>
          <w:rFonts w:ascii="仿宋_GB2312" w:eastAsia="仿宋_GB2312" w:cs="宋体" w:hint="eastAsia"/>
          <w:w w:val="90"/>
          <w:kern w:val="0"/>
          <w:sz w:val="28"/>
          <w:szCs w:val="28"/>
          <w:lang w:val="zh-CN"/>
        </w:rPr>
        <w:t>游艺机等游乐设施设置应相对集中，</w:t>
      </w:r>
      <w:r>
        <w:rPr>
          <w:rFonts w:ascii="仿宋_GB2312" w:eastAsia="仿宋_GB2312" w:cs="宋体" w:hint="eastAsia"/>
          <w:w w:val="90"/>
          <w:kern w:val="0"/>
          <w:sz w:val="28"/>
          <w:szCs w:val="28"/>
          <w:lang w:val="zh-CN"/>
        </w:rPr>
        <w:t>并</w:t>
      </w:r>
      <w:r w:rsidRPr="00354823">
        <w:rPr>
          <w:rFonts w:ascii="仿宋_GB2312" w:eastAsia="仿宋_GB2312" w:cs="宋体" w:hint="eastAsia"/>
          <w:w w:val="90"/>
          <w:kern w:val="0"/>
          <w:sz w:val="28"/>
          <w:szCs w:val="28"/>
          <w:lang w:val="zh-CN"/>
        </w:rPr>
        <w:t>严格按照批准的地点、</w:t>
      </w:r>
      <w:r w:rsidRPr="00354823">
        <w:rPr>
          <w:rFonts w:ascii="仿宋_GB2312" w:eastAsia="仿宋_GB2312" w:cs="宋体"/>
          <w:w w:val="90"/>
          <w:kern w:val="0"/>
          <w:sz w:val="28"/>
          <w:szCs w:val="28"/>
          <w:lang w:val="zh-CN"/>
        </w:rPr>
        <w:t>规模</w:t>
      </w:r>
      <w:r w:rsidRPr="00354823">
        <w:rPr>
          <w:rFonts w:ascii="仿宋_GB2312" w:eastAsia="仿宋_GB2312" w:cs="宋体" w:hint="eastAsia"/>
          <w:w w:val="90"/>
          <w:kern w:val="0"/>
          <w:sz w:val="28"/>
          <w:szCs w:val="28"/>
          <w:lang w:val="zh-CN"/>
        </w:rPr>
        <w:t>和数量进行设置。设置的游乐设施应当符合国家和本市有关技术、安全标准等相关规定，具有制造许可证、产品质量合格证、设计文件鉴定报告、型式试验报告和产品说明书，取得特种设备检验机构检验合格证。</w:t>
      </w:r>
    </w:p>
    <w:p w:rsidR="00AD45D0" w:rsidRDefault="00AD45D0" w:rsidP="00AD45D0">
      <w:pPr>
        <w:adjustRightInd w:val="0"/>
        <w:snapToGrid w:val="0"/>
        <w:spacing w:line="360" w:lineRule="auto"/>
        <w:ind w:firstLineChars="200" w:firstLine="503"/>
        <w:rPr>
          <w:rFonts w:ascii="仿宋_GB2312" w:eastAsia="仿宋_GB2312" w:cs="宋体"/>
          <w:w w:val="90"/>
          <w:kern w:val="0"/>
          <w:sz w:val="28"/>
          <w:szCs w:val="28"/>
          <w:lang w:val="zh-CN"/>
        </w:rPr>
      </w:pPr>
      <w:r w:rsidRPr="00402618">
        <w:rPr>
          <w:rFonts w:ascii="仿宋_GB2312" w:eastAsia="仿宋_GB2312" w:cs="宋体" w:hint="eastAsia"/>
          <w:w w:val="90"/>
          <w:kern w:val="0"/>
          <w:sz w:val="28"/>
          <w:szCs w:val="28"/>
          <w:lang w:val="zh-CN"/>
        </w:rPr>
        <w:t>设置商业服务设施需增设建筑物、构筑物的，</w:t>
      </w:r>
      <w:r>
        <w:rPr>
          <w:rFonts w:ascii="仿宋_GB2312" w:eastAsia="仿宋_GB2312" w:cs="宋体" w:hint="eastAsia"/>
          <w:w w:val="90"/>
          <w:kern w:val="0"/>
          <w:sz w:val="28"/>
          <w:szCs w:val="28"/>
          <w:lang w:val="zh-CN"/>
        </w:rPr>
        <w:t>其</w:t>
      </w:r>
      <w:r w:rsidRPr="00402618">
        <w:rPr>
          <w:rFonts w:ascii="仿宋_GB2312" w:eastAsia="仿宋_GB2312" w:cs="宋体" w:hint="eastAsia"/>
          <w:w w:val="90"/>
          <w:kern w:val="0"/>
          <w:sz w:val="28"/>
          <w:szCs w:val="28"/>
          <w:lang w:val="zh-CN"/>
        </w:rPr>
        <w:t>功能应</w:t>
      </w:r>
      <w:r>
        <w:rPr>
          <w:rFonts w:ascii="仿宋_GB2312" w:eastAsia="仿宋_GB2312" w:cs="宋体" w:hint="eastAsia"/>
          <w:w w:val="90"/>
          <w:kern w:val="0"/>
          <w:sz w:val="28"/>
          <w:szCs w:val="28"/>
          <w:lang w:val="zh-CN"/>
        </w:rPr>
        <w:t>当以公园游客为主要服务对象，服务内容</w:t>
      </w:r>
      <w:r w:rsidRPr="00402618">
        <w:rPr>
          <w:rFonts w:ascii="仿宋_GB2312" w:eastAsia="仿宋_GB2312" w:cs="宋体" w:hint="eastAsia"/>
          <w:w w:val="90"/>
          <w:kern w:val="0"/>
          <w:sz w:val="28"/>
          <w:szCs w:val="28"/>
          <w:lang w:val="zh-CN"/>
        </w:rPr>
        <w:t>与公园功能</w:t>
      </w:r>
      <w:r>
        <w:rPr>
          <w:rFonts w:ascii="仿宋_GB2312" w:eastAsia="仿宋_GB2312" w:cs="宋体" w:hint="eastAsia"/>
          <w:w w:val="90"/>
          <w:kern w:val="0"/>
          <w:sz w:val="28"/>
          <w:szCs w:val="28"/>
          <w:lang w:val="zh-CN"/>
        </w:rPr>
        <w:t>相</w:t>
      </w:r>
      <w:r w:rsidRPr="00402618">
        <w:rPr>
          <w:rFonts w:ascii="仿宋_GB2312" w:eastAsia="仿宋_GB2312" w:cs="宋体" w:hint="eastAsia"/>
          <w:w w:val="90"/>
          <w:kern w:val="0"/>
          <w:sz w:val="28"/>
          <w:szCs w:val="28"/>
          <w:lang w:val="zh-CN"/>
        </w:rPr>
        <w:t>一致，不</w:t>
      </w:r>
      <w:r>
        <w:rPr>
          <w:rFonts w:ascii="仿宋_GB2312" w:eastAsia="仿宋_GB2312" w:cs="宋体" w:hint="eastAsia"/>
          <w:w w:val="90"/>
          <w:kern w:val="0"/>
          <w:sz w:val="28"/>
          <w:szCs w:val="28"/>
          <w:lang w:val="zh-CN"/>
        </w:rPr>
        <w:t>得</w:t>
      </w:r>
      <w:r w:rsidRPr="00402618">
        <w:rPr>
          <w:rFonts w:ascii="仿宋_GB2312" w:eastAsia="仿宋_GB2312" w:cs="宋体" w:hint="eastAsia"/>
          <w:w w:val="90"/>
          <w:kern w:val="0"/>
          <w:sz w:val="28"/>
          <w:szCs w:val="28"/>
          <w:lang w:val="zh-CN"/>
        </w:rPr>
        <w:t>设置与公园功能无关的商业服务</w:t>
      </w:r>
      <w:r>
        <w:rPr>
          <w:rFonts w:ascii="仿宋_GB2312" w:eastAsia="仿宋_GB2312" w:cs="宋体" w:hint="eastAsia"/>
          <w:w w:val="90"/>
          <w:kern w:val="0"/>
          <w:sz w:val="28"/>
          <w:szCs w:val="28"/>
          <w:lang w:val="zh-CN"/>
        </w:rPr>
        <w:t>设施；</w:t>
      </w:r>
    </w:p>
    <w:p w:rsidR="00AD45D0" w:rsidRPr="00354823" w:rsidRDefault="00AD45D0" w:rsidP="00AD45D0">
      <w:pPr>
        <w:adjustRightInd w:val="0"/>
        <w:snapToGrid w:val="0"/>
        <w:spacing w:line="360" w:lineRule="auto"/>
        <w:ind w:firstLineChars="200" w:firstLine="503"/>
        <w:rPr>
          <w:rFonts w:ascii="仿宋_GB2312" w:eastAsia="仿宋_GB2312" w:cs="宋体"/>
          <w:w w:val="90"/>
          <w:kern w:val="0"/>
          <w:sz w:val="28"/>
          <w:szCs w:val="28"/>
          <w:lang w:val="zh-CN"/>
        </w:rPr>
      </w:pPr>
      <w:r w:rsidRPr="00354823">
        <w:rPr>
          <w:rFonts w:ascii="仿宋_GB2312" w:eastAsia="仿宋_GB2312" w:cs="宋体" w:hint="eastAsia"/>
          <w:w w:val="90"/>
          <w:kern w:val="0"/>
          <w:sz w:val="28"/>
          <w:szCs w:val="28"/>
          <w:lang w:val="zh-CN"/>
        </w:rPr>
        <w:t>调整后的建筑物、构筑物、道路铺装等，应与原公园绿地总体风格保持一致。</w:t>
      </w:r>
    </w:p>
    <w:p w:rsidR="00AD45D0" w:rsidRPr="0023247B" w:rsidRDefault="00AD45D0" w:rsidP="00AD45D0">
      <w:pPr>
        <w:adjustRightInd w:val="0"/>
        <w:snapToGrid w:val="0"/>
        <w:spacing w:beforeLines="50" w:line="360" w:lineRule="auto"/>
        <w:ind w:firstLineChars="200" w:firstLine="613"/>
        <w:rPr>
          <w:rFonts w:ascii="黑体" w:eastAsia="黑体"/>
          <w:w w:val="110"/>
          <w:sz w:val="28"/>
          <w:szCs w:val="28"/>
        </w:rPr>
      </w:pPr>
      <w:r w:rsidRPr="0023247B">
        <w:rPr>
          <w:rFonts w:ascii="黑体" w:eastAsia="黑体" w:hint="eastAsia"/>
          <w:w w:val="110"/>
          <w:sz w:val="28"/>
          <w:szCs w:val="28"/>
        </w:rPr>
        <w:t>第十</w:t>
      </w:r>
      <w:r>
        <w:rPr>
          <w:rFonts w:ascii="黑体" w:eastAsia="黑体" w:hint="eastAsia"/>
          <w:w w:val="110"/>
          <w:sz w:val="28"/>
          <w:szCs w:val="28"/>
        </w:rPr>
        <w:t>三</w:t>
      </w:r>
      <w:r w:rsidRPr="0023247B">
        <w:rPr>
          <w:rFonts w:ascii="黑体" w:eastAsia="黑体" w:hint="eastAsia"/>
          <w:w w:val="110"/>
          <w:sz w:val="28"/>
          <w:szCs w:val="28"/>
        </w:rPr>
        <w:t>条 调整其他绿地</w:t>
      </w:r>
    </w:p>
    <w:p w:rsidR="00AD45D0" w:rsidRPr="0023247B" w:rsidRDefault="00AD45D0" w:rsidP="00AD45D0">
      <w:pPr>
        <w:autoSpaceDE w:val="0"/>
        <w:autoSpaceDN w:val="0"/>
        <w:adjustRightInd w:val="0"/>
        <w:snapToGrid w:val="0"/>
        <w:spacing w:line="360" w:lineRule="auto"/>
        <w:ind w:firstLineChars="200" w:firstLine="503"/>
        <w:rPr>
          <w:rFonts w:ascii="仿宋_GB2312" w:eastAsia="仿宋_GB2312" w:cs="宋体"/>
          <w:w w:val="90"/>
          <w:kern w:val="0"/>
          <w:sz w:val="28"/>
          <w:szCs w:val="28"/>
          <w:lang w:val="zh-CN"/>
        </w:rPr>
      </w:pPr>
      <w:r w:rsidRPr="0023247B">
        <w:rPr>
          <w:rFonts w:ascii="仿宋_GB2312" w:eastAsia="仿宋_GB2312" w:cs="宋体" w:hint="eastAsia"/>
          <w:w w:val="90"/>
          <w:kern w:val="0"/>
          <w:sz w:val="28"/>
          <w:szCs w:val="28"/>
          <w:lang w:val="zh-CN"/>
        </w:rPr>
        <w:t>调整其他建成绿地内部布局，调整后的绿地面积不得少于原有的绿地面积。如果在调整中确需减少原有绿地面积的，按照本规定</w:t>
      </w:r>
      <w:r>
        <w:rPr>
          <w:rFonts w:ascii="仿宋_GB2312" w:eastAsia="仿宋_GB2312" w:cs="宋体" w:hint="eastAsia"/>
          <w:w w:val="90"/>
          <w:kern w:val="0"/>
          <w:sz w:val="28"/>
          <w:szCs w:val="28"/>
          <w:lang w:val="zh-CN"/>
        </w:rPr>
        <w:t>办理占用已建成绿地的行政许可</w:t>
      </w:r>
      <w:r w:rsidRPr="0023247B">
        <w:rPr>
          <w:rFonts w:ascii="仿宋_GB2312" w:eastAsia="仿宋_GB2312" w:cs="宋体" w:hint="eastAsia"/>
          <w:w w:val="90"/>
          <w:kern w:val="0"/>
          <w:sz w:val="28"/>
          <w:szCs w:val="28"/>
          <w:lang w:val="zh-CN"/>
        </w:rPr>
        <w:t>。</w:t>
      </w:r>
    </w:p>
    <w:p w:rsidR="00AD45D0" w:rsidRPr="006F3A9F" w:rsidRDefault="00AD45D0" w:rsidP="00AD45D0">
      <w:pPr>
        <w:adjustRightInd w:val="0"/>
        <w:snapToGrid w:val="0"/>
        <w:spacing w:beforeLines="50" w:line="360" w:lineRule="auto"/>
        <w:ind w:firstLineChars="200" w:firstLine="613"/>
        <w:rPr>
          <w:rFonts w:ascii="黑体" w:eastAsia="黑体"/>
          <w:w w:val="110"/>
          <w:sz w:val="28"/>
          <w:szCs w:val="28"/>
        </w:rPr>
      </w:pPr>
      <w:r w:rsidRPr="006F3A9F">
        <w:rPr>
          <w:rFonts w:ascii="黑体" w:eastAsia="黑体" w:hint="eastAsia"/>
          <w:w w:val="110"/>
          <w:sz w:val="28"/>
          <w:szCs w:val="28"/>
        </w:rPr>
        <w:t>第十</w:t>
      </w:r>
      <w:r>
        <w:rPr>
          <w:rFonts w:ascii="黑体" w:eastAsia="黑体" w:hint="eastAsia"/>
          <w:w w:val="110"/>
          <w:sz w:val="28"/>
          <w:szCs w:val="28"/>
        </w:rPr>
        <w:t>四</w:t>
      </w:r>
      <w:r w:rsidRPr="006F3A9F">
        <w:rPr>
          <w:rFonts w:ascii="黑体" w:eastAsia="黑体" w:hint="eastAsia"/>
          <w:w w:val="110"/>
          <w:sz w:val="28"/>
          <w:szCs w:val="28"/>
        </w:rPr>
        <w:t>条 公共绿地内建（构）筑物单体及功能控制</w:t>
      </w:r>
    </w:p>
    <w:p w:rsidR="00AD45D0" w:rsidRDefault="00AD45D0" w:rsidP="00AD45D0">
      <w:pPr>
        <w:adjustRightInd w:val="0"/>
        <w:snapToGrid w:val="0"/>
        <w:spacing w:line="360" w:lineRule="auto"/>
        <w:ind w:firstLineChars="200" w:firstLine="539"/>
        <w:rPr>
          <w:rFonts w:ascii="仿宋_GB2312" w:eastAsia="仿宋_GB2312" w:cs="宋体"/>
          <w:w w:val="90"/>
          <w:kern w:val="0"/>
          <w:sz w:val="30"/>
          <w:szCs w:val="30"/>
          <w:lang w:val="zh-CN"/>
        </w:rPr>
      </w:pPr>
      <w:r w:rsidRPr="00354823">
        <w:rPr>
          <w:rFonts w:ascii="仿宋_GB2312" w:eastAsia="仿宋_GB2312" w:cs="宋体" w:hint="eastAsia"/>
          <w:w w:val="90"/>
          <w:kern w:val="0"/>
          <w:sz w:val="30"/>
          <w:szCs w:val="30"/>
          <w:lang w:val="zh-CN"/>
        </w:rPr>
        <w:t>公园绿地内的建筑物、构筑物应以一层为主。局部超过一层的，建筑总高度不大于</w:t>
      </w:r>
      <w:smartTag w:uri="urn:schemas-microsoft-com:office:smarttags" w:element="chmetcnv">
        <w:smartTagPr>
          <w:attr w:name="UnitName" w:val="米"/>
          <w:attr w:name="SourceValue" w:val="9"/>
          <w:attr w:name="HasSpace" w:val="False"/>
          <w:attr w:name="Negative" w:val="False"/>
          <w:attr w:name="NumberType" w:val="3"/>
          <w:attr w:name="TCSC" w:val="1"/>
        </w:smartTagPr>
        <w:r w:rsidRPr="00354823">
          <w:rPr>
            <w:rFonts w:ascii="仿宋_GB2312" w:eastAsia="仿宋_GB2312" w:cs="宋体" w:hint="eastAsia"/>
            <w:w w:val="90"/>
            <w:kern w:val="0"/>
            <w:sz w:val="30"/>
            <w:szCs w:val="30"/>
            <w:lang w:val="zh-CN"/>
          </w:rPr>
          <w:t>九米</w:t>
        </w:r>
      </w:smartTag>
      <w:r w:rsidRPr="00354823">
        <w:rPr>
          <w:rFonts w:ascii="仿宋_GB2312" w:eastAsia="仿宋_GB2312" w:cs="宋体" w:hint="eastAsia"/>
          <w:w w:val="90"/>
          <w:kern w:val="0"/>
          <w:sz w:val="30"/>
          <w:szCs w:val="30"/>
          <w:lang w:val="zh-CN"/>
        </w:rPr>
        <w:t>。</w:t>
      </w:r>
    </w:p>
    <w:p w:rsidR="00AD45D0" w:rsidRPr="006F3A9F" w:rsidRDefault="00AD45D0" w:rsidP="00AD45D0">
      <w:pPr>
        <w:adjustRightInd w:val="0"/>
        <w:snapToGrid w:val="0"/>
        <w:spacing w:line="360" w:lineRule="auto"/>
        <w:ind w:firstLineChars="200" w:firstLine="539"/>
        <w:rPr>
          <w:rFonts w:ascii="仿宋_GB2312" w:eastAsia="仿宋_GB2312" w:cs="宋体"/>
          <w:w w:val="90"/>
          <w:kern w:val="0"/>
          <w:sz w:val="30"/>
          <w:szCs w:val="30"/>
          <w:lang w:val="zh-CN"/>
        </w:rPr>
      </w:pPr>
      <w:r w:rsidRPr="006F3A9F">
        <w:rPr>
          <w:rFonts w:ascii="仿宋_GB2312" w:eastAsia="仿宋_GB2312" w:cs="宋体" w:hint="eastAsia"/>
          <w:w w:val="90"/>
          <w:kern w:val="0"/>
          <w:sz w:val="30"/>
          <w:szCs w:val="30"/>
          <w:lang w:val="zh-CN"/>
        </w:rPr>
        <w:t>公园绿地内建筑物的功能应当以公园设计方案确定的要求实施，不</w:t>
      </w:r>
      <w:r w:rsidRPr="006F3A9F">
        <w:rPr>
          <w:rFonts w:ascii="仿宋_GB2312" w:eastAsia="仿宋_GB2312" w:cs="宋体" w:hint="eastAsia"/>
          <w:w w:val="90"/>
          <w:kern w:val="0"/>
          <w:sz w:val="30"/>
          <w:szCs w:val="30"/>
          <w:lang w:val="zh-CN"/>
        </w:rPr>
        <w:lastRenderedPageBreak/>
        <w:t>得擅自移作</w:t>
      </w:r>
      <w:r>
        <w:rPr>
          <w:rFonts w:ascii="仿宋_GB2312" w:eastAsia="仿宋_GB2312" w:cs="宋体" w:hint="eastAsia"/>
          <w:w w:val="90"/>
          <w:kern w:val="0"/>
          <w:sz w:val="30"/>
          <w:szCs w:val="30"/>
          <w:lang w:val="zh-CN"/>
        </w:rPr>
        <w:t>他</w:t>
      </w:r>
      <w:r w:rsidRPr="006F3A9F">
        <w:rPr>
          <w:rFonts w:ascii="仿宋_GB2312" w:eastAsia="仿宋_GB2312" w:cs="宋体" w:hint="eastAsia"/>
          <w:w w:val="90"/>
          <w:kern w:val="0"/>
          <w:sz w:val="30"/>
          <w:szCs w:val="30"/>
          <w:lang w:val="zh-CN"/>
        </w:rPr>
        <w:t>用。</w:t>
      </w: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第十</w:t>
      </w:r>
      <w:r>
        <w:rPr>
          <w:rFonts w:ascii="黑体" w:eastAsia="黑体" w:hint="eastAsia"/>
          <w:w w:val="110"/>
          <w:sz w:val="28"/>
          <w:szCs w:val="28"/>
        </w:rPr>
        <w:t>五</w:t>
      </w:r>
      <w:r w:rsidRPr="00402618">
        <w:rPr>
          <w:rFonts w:ascii="黑体" w:eastAsia="黑体" w:hint="eastAsia"/>
          <w:w w:val="110"/>
          <w:sz w:val="28"/>
          <w:szCs w:val="28"/>
        </w:rPr>
        <w:t>条</w:t>
      </w:r>
      <w:r>
        <w:rPr>
          <w:rFonts w:ascii="黑体" w:eastAsia="黑体" w:hint="eastAsia"/>
          <w:w w:val="110"/>
          <w:sz w:val="28"/>
          <w:szCs w:val="28"/>
        </w:rPr>
        <w:t xml:space="preserve"> </w:t>
      </w:r>
      <w:r w:rsidRPr="00402618">
        <w:rPr>
          <w:rFonts w:ascii="黑体" w:eastAsia="黑体" w:hint="eastAsia"/>
          <w:w w:val="110"/>
          <w:sz w:val="28"/>
          <w:szCs w:val="28"/>
        </w:rPr>
        <w:t>建设项目配套绿化比例规定</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建设项目配套绿化面积占用地总面积的比例，应当按照以下标准进行</w:t>
      </w:r>
      <w:r>
        <w:rPr>
          <w:rFonts w:ascii="仿宋_GB2312" w:eastAsia="仿宋_GB2312" w:hAnsi="仿宋" w:cs="宋体" w:hint="eastAsia"/>
          <w:w w:val="90"/>
          <w:kern w:val="0"/>
          <w:sz w:val="28"/>
          <w:szCs w:val="28"/>
        </w:rPr>
        <w:t>审核</w:t>
      </w:r>
      <w:r w:rsidRPr="00402618">
        <w:rPr>
          <w:rFonts w:ascii="仿宋_GB2312" w:eastAsia="仿宋_GB2312" w:hAnsi="仿宋" w:cs="宋体" w:hint="eastAsia"/>
          <w:w w:val="90"/>
          <w:kern w:val="0"/>
          <w:sz w:val="28"/>
          <w:szCs w:val="28"/>
        </w:rPr>
        <w:t>：</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一）新建居住区内绿地面积占居住区用地总面积的比例不得低于百分之三十五，其中用于建设集中绿地的面积不得低于居住区用地总面积的百分之十；按照规划成片改建、扩建居住区的绿地面积不得低于居住区用地总面积的百分之二十五。</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（二）新建学校、医院、疗休养院所、公共文化设施，其附属绿地面积不得低于单位用地总面积的百分之三十五；其中，传染病医院还应当建设宽度不少于</w:t>
      </w:r>
      <w:smartTag w:uri="urn:schemas-microsoft-com:office:smarttags" w:element="chmetcnv">
        <w:smartTagPr>
          <w:attr w:name="UnitName" w:val="米"/>
          <w:attr w:name="SourceValue" w:val="50"/>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五十米</w:t>
        </w:r>
      </w:smartTag>
      <w:r w:rsidRPr="00402618">
        <w:rPr>
          <w:rFonts w:ascii="仿宋_GB2312" w:eastAsia="仿宋_GB2312" w:hAnsi="仿宋" w:cs="宋体" w:hint="eastAsia"/>
          <w:w w:val="90"/>
          <w:kern w:val="0"/>
          <w:sz w:val="28"/>
          <w:szCs w:val="28"/>
        </w:rPr>
        <w:t>的防护绿地。</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（三）新建工业园区附属绿地总面积不得低于工业园区用地总面积的百分之二十，工业园区内各项目的具体绿地比例，由工业园区管理机构确定</w:t>
      </w:r>
      <w:r>
        <w:rPr>
          <w:rFonts w:ascii="仿宋_GB2312" w:eastAsia="仿宋_GB2312" w:hAnsi="仿宋" w:cs="宋体" w:hint="eastAsia"/>
          <w:w w:val="90"/>
          <w:kern w:val="0"/>
          <w:sz w:val="28"/>
          <w:szCs w:val="28"/>
        </w:rPr>
        <w:t>；已报批</w:t>
      </w:r>
      <w:r w:rsidRPr="00402618">
        <w:rPr>
          <w:rFonts w:ascii="仿宋_GB2312" w:eastAsia="仿宋_GB2312" w:hAnsi="仿宋" w:cs="宋体" w:hint="eastAsia"/>
          <w:w w:val="90"/>
          <w:kern w:val="0"/>
          <w:sz w:val="28"/>
          <w:szCs w:val="28"/>
        </w:rPr>
        <w:t>工业园区</w:t>
      </w:r>
      <w:r>
        <w:rPr>
          <w:rFonts w:ascii="仿宋_GB2312" w:eastAsia="仿宋_GB2312" w:hAnsi="仿宋" w:cs="宋体" w:hint="eastAsia"/>
          <w:w w:val="90"/>
          <w:kern w:val="0"/>
          <w:sz w:val="28"/>
          <w:szCs w:val="28"/>
        </w:rPr>
        <w:t>专项规划的，按照批复的规划指标</w:t>
      </w:r>
      <w:r w:rsidRPr="00402618">
        <w:rPr>
          <w:rFonts w:ascii="仿宋_GB2312" w:eastAsia="仿宋_GB2312" w:hAnsi="仿宋" w:cs="宋体" w:hint="eastAsia"/>
          <w:w w:val="90"/>
          <w:kern w:val="0"/>
          <w:sz w:val="28"/>
          <w:szCs w:val="28"/>
        </w:rPr>
        <w:t>由工业园区管理机构确定</w:t>
      </w:r>
      <w:r>
        <w:rPr>
          <w:rFonts w:ascii="仿宋_GB2312" w:eastAsia="仿宋_GB2312" w:hAnsi="仿宋" w:cs="宋体" w:hint="eastAsia"/>
          <w:w w:val="90"/>
          <w:kern w:val="0"/>
          <w:sz w:val="28"/>
          <w:szCs w:val="28"/>
        </w:rPr>
        <w:t>项目附属绿地面积；未报批</w:t>
      </w:r>
      <w:r w:rsidRPr="00402618">
        <w:rPr>
          <w:rFonts w:ascii="仿宋_GB2312" w:eastAsia="仿宋_GB2312" w:hAnsi="仿宋" w:cs="宋体" w:hint="eastAsia"/>
          <w:w w:val="90"/>
          <w:kern w:val="0"/>
          <w:sz w:val="28"/>
          <w:szCs w:val="28"/>
        </w:rPr>
        <w:t>工业园区</w:t>
      </w:r>
      <w:r>
        <w:rPr>
          <w:rFonts w:ascii="仿宋_GB2312" w:eastAsia="仿宋_GB2312" w:hAnsi="仿宋" w:cs="宋体" w:hint="eastAsia"/>
          <w:w w:val="90"/>
          <w:kern w:val="0"/>
          <w:sz w:val="28"/>
          <w:szCs w:val="28"/>
        </w:rPr>
        <w:t>专项规划的，各单体项目</w:t>
      </w:r>
      <w:r w:rsidRPr="00402618">
        <w:rPr>
          <w:rFonts w:ascii="仿宋_GB2312" w:eastAsia="仿宋_GB2312" w:hAnsi="仿宋" w:cs="宋体" w:hint="eastAsia"/>
          <w:w w:val="90"/>
          <w:kern w:val="0"/>
          <w:sz w:val="28"/>
          <w:szCs w:val="28"/>
        </w:rPr>
        <w:t>附属绿地不得低于项目用地面积百分之二十；工业园区外新建工业项目以及交通枢纽、仓储等项目的附属绿地，不得低于项目用地总面积的百分之二十；新建产生有毒有害气体的项目的附属绿地面积不得低于工业项目用地总面积的百分之三十，并应当建设宽度不少于</w:t>
      </w:r>
      <w:smartTag w:uri="urn:schemas-microsoft-com:office:smarttags" w:element="chmetcnv">
        <w:smartTagPr>
          <w:attr w:name="UnitName" w:val="米"/>
          <w:attr w:name="SourceValue" w:val="50"/>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五十米</w:t>
        </w:r>
      </w:smartTag>
      <w:r w:rsidRPr="00402618">
        <w:rPr>
          <w:rFonts w:ascii="仿宋_GB2312" w:eastAsia="仿宋_GB2312" w:hAnsi="仿宋" w:cs="宋体" w:hint="eastAsia"/>
          <w:w w:val="90"/>
          <w:kern w:val="0"/>
          <w:sz w:val="28"/>
          <w:szCs w:val="28"/>
        </w:rPr>
        <w:t>的防护绿地。</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（四）新建地面主干道路红线内的绿地面积不得低于道路用地总面积的百分之二十；新建其他地面道路红线内的绿地面积不得低于道路用地总面积的百分之十五。</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（五）新建铁路两侧防护绿地宽度按照国家有关规定执行。</w:t>
      </w:r>
    </w:p>
    <w:p w:rsidR="00AD45D0"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（六）在历史文化风貌保护区和优秀历史建筑保护范围内进行建设活动，不得减少原有的绿地面积。</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Pr>
          <w:rFonts w:ascii="仿宋_GB2312" w:eastAsia="仿宋_GB2312" w:hAnsi="仿宋" w:cs="宋体" w:hint="eastAsia"/>
          <w:w w:val="90"/>
          <w:kern w:val="0"/>
          <w:sz w:val="28"/>
          <w:szCs w:val="28"/>
        </w:rPr>
        <w:lastRenderedPageBreak/>
        <w:t>（七）</w:t>
      </w:r>
      <w:r w:rsidRPr="00402618">
        <w:rPr>
          <w:rFonts w:ascii="仿宋_GB2312" w:eastAsia="仿宋_GB2312" w:hAnsi="仿宋" w:cs="宋体" w:hint="eastAsia"/>
          <w:w w:val="90"/>
          <w:kern w:val="0"/>
          <w:sz w:val="28"/>
          <w:szCs w:val="28"/>
        </w:rPr>
        <w:t>在</w:t>
      </w:r>
      <w:r>
        <w:rPr>
          <w:rFonts w:ascii="仿宋_GB2312" w:eastAsia="仿宋_GB2312" w:hAnsi="仿宋" w:cs="宋体" w:hint="eastAsia"/>
          <w:w w:val="90"/>
          <w:kern w:val="0"/>
          <w:sz w:val="28"/>
          <w:szCs w:val="28"/>
        </w:rPr>
        <w:t>依法确认的城市更新项目范围内</w:t>
      </w:r>
      <w:r w:rsidRPr="00402618">
        <w:rPr>
          <w:rFonts w:ascii="仿宋_GB2312" w:eastAsia="仿宋_GB2312" w:hAnsi="仿宋" w:cs="宋体" w:hint="eastAsia"/>
          <w:w w:val="90"/>
          <w:kern w:val="0"/>
          <w:sz w:val="28"/>
          <w:szCs w:val="28"/>
        </w:rPr>
        <w:t>进行建设活动，不得减少原有的绿地面积。</w:t>
      </w:r>
      <w:r>
        <w:rPr>
          <w:rFonts w:ascii="仿宋_GB2312" w:eastAsia="仿宋_GB2312" w:hAnsi="仿宋" w:cs="宋体" w:hint="eastAsia"/>
          <w:w w:val="90"/>
          <w:kern w:val="0"/>
          <w:sz w:val="28"/>
          <w:szCs w:val="28"/>
        </w:rPr>
        <w:t>并</w:t>
      </w:r>
      <w:r w:rsidRPr="00002A8A">
        <w:rPr>
          <w:rFonts w:ascii="仿宋_GB2312" w:eastAsia="仿宋_GB2312" w:hAnsi="仿宋" w:cs="宋体" w:hint="eastAsia"/>
          <w:w w:val="90"/>
          <w:kern w:val="0"/>
          <w:sz w:val="28"/>
          <w:szCs w:val="28"/>
        </w:rPr>
        <w:t>充分挖掘潜力结合建筑、公共广场空间发展垂直绿化、屋顶绿化等多种形式的立体绿化，多层次地丰富绿化景观。</w:t>
      </w:r>
    </w:p>
    <w:p w:rsidR="00AD45D0" w:rsidRPr="006F3A9F"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354823">
        <w:rPr>
          <w:rFonts w:ascii="仿宋_GB2312" w:eastAsia="仿宋_GB2312" w:hAnsi="仿宋" w:cs="宋体" w:hint="eastAsia"/>
          <w:w w:val="90"/>
          <w:kern w:val="0"/>
          <w:sz w:val="28"/>
          <w:szCs w:val="28"/>
        </w:rPr>
        <w:t>（</w:t>
      </w:r>
      <w:r>
        <w:rPr>
          <w:rFonts w:ascii="仿宋_GB2312" w:eastAsia="仿宋_GB2312" w:hAnsi="仿宋" w:cs="宋体" w:hint="eastAsia"/>
          <w:w w:val="90"/>
          <w:kern w:val="0"/>
          <w:sz w:val="28"/>
          <w:szCs w:val="28"/>
        </w:rPr>
        <w:t>八</w:t>
      </w:r>
      <w:r w:rsidRPr="00354823">
        <w:rPr>
          <w:rFonts w:ascii="仿宋_GB2312" w:eastAsia="仿宋_GB2312" w:hAnsi="仿宋" w:cs="宋体" w:hint="eastAsia"/>
          <w:w w:val="90"/>
          <w:kern w:val="0"/>
          <w:sz w:val="28"/>
          <w:szCs w:val="28"/>
        </w:rPr>
        <w:t>）新建其它建设项目的绿地面积占用地总面积的比例不得低于百分之三十。其中机关团体、部队、体育类建设项目的在外环线以外不得低于百分之三十五，在外环线以内不得低于百分之三十；交通设施、邮电设施、环卫设施、消防、防汛等市政类建设项目、宾馆类建设项目，在外环线以外不得低于百分之三十，在外环线以内不得低于百分之二十五；商业、商办类建设项目，不得低于百分之二十。</w:t>
      </w:r>
      <w:proofErr w:type="gramStart"/>
      <w:r w:rsidRPr="006F3A9F">
        <w:rPr>
          <w:rFonts w:ascii="仿宋_GB2312" w:eastAsia="仿宋_GB2312" w:hAnsi="仿宋" w:cs="宋体" w:hint="eastAsia"/>
          <w:w w:val="90"/>
          <w:kern w:val="0"/>
          <w:sz w:val="28"/>
          <w:szCs w:val="28"/>
        </w:rPr>
        <w:t>商住类建设项目</w:t>
      </w:r>
      <w:proofErr w:type="gramEnd"/>
      <w:r w:rsidRPr="006F3A9F">
        <w:rPr>
          <w:rFonts w:ascii="仿宋_GB2312" w:eastAsia="仿宋_GB2312" w:hAnsi="仿宋" w:cs="宋体" w:hint="eastAsia"/>
          <w:w w:val="90"/>
          <w:kern w:val="0"/>
          <w:sz w:val="28"/>
          <w:szCs w:val="28"/>
        </w:rPr>
        <w:t>，按规划管理部门核准的用地面积，结合</w:t>
      </w:r>
      <w:r w:rsidRPr="00AA3FCD">
        <w:rPr>
          <w:rFonts w:ascii="仿宋_GB2312" w:eastAsia="仿宋_GB2312" w:hAnsi="仿宋" w:cs="宋体" w:hint="eastAsia"/>
          <w:w w:val="90"/>
          <w:kern w:val="0"/>
          <w:sz w:val="28"/>
          <w:szCs w:val="28"/>
        </w:rPr>
        <w:t>建筑面积</w:t>
      </w:r>
      <w:r w:rsidRPr="006F3A9F">
        <w:rPr>
          <w:rFonts w:ascii="仿宋_GB2312" w:eastAsia="仿宋_GB2312" w:hAnsi="仿宋" w:cs="宋体" w:hint="eastAsia"/>
          <w:w w:val="90"/>
          <w:kern w:val="0"/>
          <w:sz w:val="28"/>
          <w:szCs w:val="28"/>
        </w:rPr>
        <w:t>所占比例分别计算其配套绿地面积，住宅部分按百分之三十五、商业部分按百分之二十计算。</w:t>
      </w:r>
    </w:p>
    <w:p w:rsidR="00AD45D0"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w:t>
      </w:r>
      <w:r>
        <w:rPr>
          <w:rFonts w:ascii="仿宋_GB2312" w:eastAsia="仿宋_GB2312" w:hAnsi="仿宋" w:cs="宋体" w:hint="eastAsia"/>
          <w:w w:val="90"/>
          <w:kern w:val="0"/>
          <w:sz w:val="28"/>
          <w:szCs w:val="28"/>
        </w:rPr>
        <w:t>九</w:t>
      </w:r>
      <w:r w:rsidRPr="00402618">
        <w:rPr>
          <w:rFonts w:ascii="仿宋_GB2312" w:eastAsia="仿宋_GB2312" w:hAnsi="仿宋" w:cs="宋体" w:hint="eastAsia"/>
          <w:w w:val="90"/>
          <w:kern w:val="0"/>
          <w:sz w:val="28"/>
          <w:szCs w:val="28"/>
        </w:rPr>
        <w:t>）属于旧城区改建的非住宅项目，确实无法达到绿地率指标的，允许规定的配套绿化比例降低五个百分点，但不得少于原有的绿化面积。</w:t>
      </w:r>
    </w:p>
    <w:p w:rsidR="00AD45D0"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AD17E6">
        <w:rPr>
          <w:rFonts w:ascii="仿宋_GB2312" w:eastAsia="仿宋_GB2312" w:hAnsi="仿宋" w:cs="宋体" w:hint="eastAsia"/>
          <w:w w:val="90"/>
          <w:kern w:val="0"/>
          <w:sz w:val="28"/>
          <w:szCs w:val="28"/>
        </w:rPr>
        <w:t>（十）涉及用地性质为平面复合用地的，各用地功能之间规划红线划分明确的，绿地率指标按照用地边界分开计算，如无法确认边界的，</w:t>
      </w:r>
      <w:r w:rsidRPr="009044B9">
        <w:rPr>
          <w:rFonts w:ascii="仿宋_GB2312" w:eastAsia="仿宋_GB2312" w:hAnsi="仿宋" w:cs="宋体" w:hint="eastAsia"/>
          <w:w w:val="90"/>
          <w:kern w:val="0"/>
          <w:sz w:val="28"/>
          <w:szCs w:val="28"/>
        </w:rPr>
        <w:t>如无法确认边界的，按照建筑面积所占比例统筹计算其配套绿地面积，其中住宅部分绿地率要求绿地率百分之三十五、市政部分要求绿地率百分之三十、商业部</w:t>
      </w:r>
      <w:proofErr w:type="gramStart"/>
      <w:r w:rsidRPr="009044B9">
        <w:rPr>
          <w:rFonts w:ascii="仿宋_GB2312" w:eastAsia="仿宋_GB2312" w:hAnsi="仿宋" w:cs="宋体" w:hint="eastAsia"/>
          <w:w w:val="90"/>
          <w:kern w:val="0"/>
          <w:sz w:val="28"/>
          <w:szCs w:val="28"/>
        </w:rPr>
        <w:t>分要求</w:t>
      </w:r>
      <w:proofErr w:type="gramEnd"/>
      <w:r w:rsidRPr="009044B9">
        <w:rPr>
          <w:rFonts w:ascii="仿宋_GB2312" w:eastAsia="仿宋_GB2312" w:hAnsi="仿宋" w:cs="宋体" w:hint="eastAsia"/>
          <w:w w:val="90"/>
          <w:kern w:val="0"/>
          <w:sz w:val="28"/>
          <w:szCs w:val="28"/>
        </w:rPr>
        <w:t>绿地率百分之二十</w:t>
      </w:r>
      <w:r>
        <w:rPr>
          <w:rFonts w:ascii="仿宋_GB2312" w:eastAsia="仿宋_GB2312" w:hAnsi="仿宋" w:cs="宋体" w:hint="eastAsia"/>
          <w:w w:val="90"/>
          <w:kern w:val="0"/>
          <w:sz w:val="28"/>
          <w:szCs w:val="28"/>
        </w:rPr>
        <w:t>。</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确因条件限制而绿地面积达不到前款规定的建设项目，</w:t>
      </w:r>
      <w:r>
        <w:rPr>
          <w:rFonts w:ascii="仿宋_GB2312" w:eastAsia="仿宋_GB2312" w:hAnsi="仿宋" w:cs="宋体" w:hint="eastAsia"/>
          <w:w w:val="90"/>
          <w:kern w:val="0"/>
          <w:sz w:val="28"/>
          <w:szCs w:val="28"/>
        </w:rPr>
        <w:t>规划管理部门</w:t>
      </w:r>
      <w:r w:rsidRPr="00402618">
        <w:rPr>
          <w:rFonts w:ascii="仿宋_GB2312" w:eastAsia="仿宋_GB2312" w:hAnsi="仿宋" w:cs="宋体" w:hint="eastAsia"/>
          <w:w w:val="90"/>
          <w:kern w:val="0"/>
          <w:sz w:val="28"/>
          <w:szCs w:val="28"/>
        </w:rPr>
        <w:t>应当</w:t>
      </w:r>
      <w:r>
        <w:rPr>
          <w:rFonts w:ascii="仿宋_GB2312" w:eastAsia="仿宋_GB2312" w:hAnsi="仿宋" w:cs="宋体" w:hint="eastAsia"/>
          <w:w w:val="90"/>
          <w:kern w:val="0"/>
          <w:sz w:val="28"/>
          <w:szCs w:val="28"/>
        </w:rPr>
        <w:t>征求绿化管理部门的意见</w:t>
      </w:r>
      <w:r w:rsidRPr="00402618">
        <w:rPr>
          <w:rFonts w:ascii="仿宋_GB2312" w:eastAsia="仿宋_GB2312" w:hAnsi="仿宋" w:cs="宋体" w:hint="eastAsia"/>
          <w:w w:val="90"/>
          <w:kern w:val="0"/>
          <w:sz w:val="28"/>
          <w:szCs w:val="28"/>
        </w:rPr>
        <w:t>，</w:t>
      </w:r>
      <w:r>
        <w:rPr>
          <w:rFonts w:ascii="仿宋_GB2312" w:eastAsia="仿宋_GB2312" w:hAnsi="仿宋" w:cs="宋体" w:hint="eastAsia"/>
          <w:w w:val="90"/>
          <w:kern w:val="0"/>
          <w:sz w:val="28"/>
          <w:szCs w:val="28"/>
        </w:rPr>
        <w:t>建设单位应当</w:t>
      </w:r>
      <w:r w:rsidRPr="00402618">
        <w:rPr>
          <w:rFonts w:ascii="仿宋_GB2312" w:eastAsia="仿宋_GB2312" w:hAnsi="仿宋" w:cs="宋体" w:hint="eastAsia"/>
          <w:w w:val="90"/>
          <w:kern w:val="0"/>
          <w:sz w:val="28"/>
          <w:szCs w:val="28"/>
        </w:rPr>
        <w:t>按所缺的绿地面积缴纳绿化补建费。</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绿地内应以植物造景为主，绿化种植面积应当不少于绿地总面积的百分之七十。</w:t>
      </w:r>
      <w:r>
        <w:rPr>
          <w:rFonts w:ascii="仿宋_GB2312" w:eastAsia="仿宋_GB2312" w:hAnsi="仿宋" w:cs="宋体" w:hint="eastAsia"/>
          <w:w w:val="90"/>
          <w:kern w:val="0"/>
          <w:sz w:val="28"/>
          <w:szCs w:val="28"/>
        </w:rPr>
        <w:t>建（</w:t>
      </w:r>
      <w:r w:rsidRPr="00402618">
        <w:rPr>
          <w:rFonts w:ascii="仿宋_GB2312" w:eastAsia="仿宋_GB2312" w:hAnsi="仿宋" w:cs="宋体" w:hint="eastAsia"/>
          <w:w w:val="90"/>
          <w:kern w:val="0"/>
          <w:sz w:val="28"/>
          <w:szCs w:val="28"/>
        </w:rPr>
        <w:t>构</w:t>
      </w:r>
      <w:r>
        <w:rPr>
          <w:rFonts w:ascii="仿宋_GB2312" w:eastAsia="仿宋_GB2312" w:hAnsi="仿宋" w:cs="宋体" w:hint="eastAsia"/>
          <w:w w:val="90"/>
          <w:kern w:val="0"/>
          <w:sz w:val="28"/>
          <w:szCs w:val="28"/>
        </w:rPr>
        <w:t>）</w:t>
      </w:r>
      <w:r w:rsidRPr="00402618">
        <w:rPr>
          <w:rFonts w:ascii="仿宋_GB2312" w:eastAsia="仿宋_GB2312" w:hAnsi="仿宋" w:cs="宋体" w:hint="eastAsia"/>
          <w:w w:val="90"/>
          <w:kern w:val="0"/>
          <w:sz w:val="28"/>
          <w:szCs w:val="28"/>
        </w:rPr>
        <w:t>筑物的占地面积不得超过绿地总面积的百分之二。有技术规范的，按照有关技术规范执行。</w:t>
      </w:r>
    </w:p>
    <w:p w:rsidR="00AD45D0"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lastRenderedPageBreak/>
        <w:t>绿化种植的地下空间顶板标高应当低于地块周边道路地坪最高点标高</w:t>
      </w:r>
      <w:smartTag w:uri="urn:schemas-microsoft-com:office:smarttags" w:element="chmetcnv">
        <w:smartTagPr>
          <w:attr w:name="UnitName" w:val="米"/>
          <w:attr w:name="SourceValue" w:val="1"/>
          <w:attr w:name="HasSpace" w:val="False"/>
          <w:attr w:name="Negative" w:val="False"/>
          <w:attr w:name="NumberType" w:val="1"/>
          <w:attr w:name="TCSC" w:val="0"/>
        </w:smartTagPr>
        <w:r w:rsidRPr="00402618">
          <w:rPr>
            <w:rFonts w:ascii="仿宋_GB2312" w:eastAsia="仿宋_GB2312" w:hAnsi="仿宋" w:cs="宋体" w:hint="eastAsia"/>
            <w:w w:val="90"/>
            <w:kern w:val="0"/>
            <w:sz w:val="28"/>
            <w:szCs w:val="28"/>
          </w:rPr>
          <w:t>1.0米</w:t>
        </w:r>
      </w:smartTag>
      <w:r w:rsidRPr="00402618">
        <w:rPr>
          <w:rFonts w:ascii="仿宋_GB2312" w:eastAsia="仿宋_GB2312" w:hAnsi="仿宋" w:cs="宋体" w:hint="eastAsia"/>
          <w:w w:val="90"/>
          <w:kern w:val="0"/>
          <w:sz w:val="28"/>
          <w:szCs w:val="28"/>
        </w:rPr>
        <w:t>以下，地下空间顶板上覆土厚度应当不低于</w:t>
      </w:r>
      <w:smartTag w:uri="urn:schemas-microsoft-com:office:smarttags" w:element="chmetcnv">
        <w:smartTagPr>
          <w:attr w:name="UnitName" w:val="米"/>
          <w:attr w:name="SourceValue" w:val="1.5"/>
          <w:attr w:name="HasSpace" w:val="False"/>
          <w:attr w:name="Negative" w:val="False"/>
          <w:attr w:name="NumberType" w:val="1"/>
          <w:attr w:name="TCSC" w:val="0"/>
        </w:smartTagPr>
        <w:r w:rsidRPr="00402618">
          <w:rPr>
            <w:rFonts w:ascii="仿宋_GB2312" w:eastAsia="仿宋_GB2312" w:hAnsi="仿宋" w:cs="宋体" w:hint="eastAsia"/>
            <w:w w:val="90"/>
            <w:kern w:val="0"/>
            <w:sz w:val="28"/>
            <w:szCs w:val="28"/>
          </w:rPr>
          <w:t>1.5米</w:t>
        </w:r>
      </w:smartTag>
      <w:r w:rsidRPr="00402618">
        <w:rPr>
          <w:rFonts w:ascii="仿宋_GB2312" w:eastAsia="仿宋_GB2312" w:hAnsi="仿宋" w:cs="宋体" w:hint="eastAsia"/>
          <w:w w:val="90"/>
          <w:kern w:val="0"/>
          <w:sz w:val="28"/>
          <w:szCs w:val="28"/>
        </w:rPr>
        <w:t>，确保符合植物种植条件。</w:t>
      </w:r>
    </w:p>
    <w:p w:rsidR="00AD45D0" w:rsidRPr="006F3A9F"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6F3A9F">
        <w:rPr>
          <w:rFonts w:ascii="仿宋_GB2312" w:eastAsia="仿宋_GB2312" w:hAnsi="仿宋" w:cs="宋体" w:hint="eastAsia"/>
          <w:w w:val="90"/>
          <w:kern w:val="0"/>
          <w:sz w:val="28"/>
          <w:szCs w:val="28"/>
        </w:rPr>
        <w:t>对应实施屋顶绿化的项目，按照相应规定执行。</w:t>
      </w: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第十</w:t>
      </w:r>
      <w:r>
        <w:rPr>
          <w:rFonts w:ascii="黑体" w:eastAsia="黑体" w:hint="eastAsia"/>
          <w:w w:val="110"/>
          <w:sz w:val="28"/>
          <w:szCs w:val="28"/>
        </w:rPr>
        <w:t>六</w:t>
      </w:r>
      <w:r w:rsidRPr="00402618">
        <w:rPr>
          <w:rFonts w:ascii="黑体" w:eastAsia="黑体" w:hint="eastAsia"/>
          <w:w w:val="110"/>
          <w:sz w:val="28"/>
          <w:szCs w:val="28"/>
        </w:rPr>
        <w:t>条</w:t>
      </w:r>
      <w:r>
        <w:rPr>
          <w:rFonts w:ascii="黑体" w:eastAsia="黑体" w:hint="eastAsia"/>
          <w:w w:val="110"/>
          <w:sz w:val="28"/>
          <w:szCs w:val="28"/>
        </w:rPr>
        <w:t xml:space="preserve"> 建筑基地</w:t>
      </w:r>
      <w:r w:rsidRPr="00475092">
        <w:rPr>
          <w:rFonts w:ascii="黑体" w:eastAsia="黑体" w:hint="eastAsia"/>
          <w:w w:val="110"/>
          <w:sz w:val="28"/>
          <w:szCs w:val="28"/>
        </w:rPr>
        <w:t>内的</w:t>
      </w:r>
      <w:r w:rsidRPr="00402618">
        <w:rPr>
          <w:rFonts w:ascii="黑体" w:eastAsia="黑体" w:hint="eastAsia"/>
          <w:w w:val="110"/>
          <w:sz w:val="28"/>
          <w:szCs w:val="28"/>
        </w:rPr>
        <w:t>集中绿地</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Pr>
          <w:rFonts w:ascii="仿宋_GB2312" w:eastAsia="仿宋_GB2312" w:hAnsi="仿宋" w:cs="宋体" w:hint="eastAsia"/>
          <w:w w:val="90"/>
          <w:kern w:val="0"/>
          <w:sz w:val="28"/>
          <w:szCs w:val="28"/>
        </w:rPr>
        <w:t>建筑基地</w:t>
      </w:r>
      <w:r w:rsidRPr="00402618">
        <w:rPr>
          <w:rFonts w:ascii="仿宋_GB2312" w:eastAsia="仿宋_GB2312" w:hAnsi="仿宋" w:cs="宋体" w:hint="eastAsia"/>
          <w:w w:val="90"/>
          <w:kern w:val="0"/>
          <w:sz w:val="28"/>
          <w:szCs w:val="28"/>
        </w:rPr>
        <w:t>内的集中绿地面积，在居住用地中应不少于用地总面积的百分之十，在体育、医疗卫生和教育科研设计用地中应符合有关专业规定，在其他类别用地中应不小于百分之五。</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集中绿地应当按照下列要求建设：</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（一）重要地区和主要景观道路两侧建设项目的集中绿地，应当沿道路一侧设置；</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（二）居住区内每块集中绿地的面积不小于</w:t>
      </w:r>
      <w:smartTag w:uri="urn:schemas-microsoft-com:office:smarttags" w:element="chmetcnv">
        <w:smartTagPr>
          <w:attr w:name="UnitName" w:val="平方米"/>
          <w:attr w:name="SourceValue" w:val="400"/>
          <w:attr w:name="HasSpace" w:val="False"/>
          <w:attr w:name="Negative" w:val="False"/>
          <w:attr w:name="NumberType" w:val="3"/>
          <w:attr w:name="TCSC" w:val="1"/>
        </w:smartTagPr>
        <w:r w:rsidRPr="00402618">
          <w:rPr>
            <w:rFonts w:ascii="仿宋_GB2312" w:eastAsia="仿宋_GB2312" w:hAnsi="仿宋" w:cs="宋体" w:hint="eastAsia"/>
            <w:w w:val="90"/>
            <w:kern w:val="0"/>
            <w:sz w:val="28"/>
            <w:szCs w:val="28"/>
          </w:rPr>
          <w:t>四百平方米</w:t>
        </w:r>
      </w:smartTag>
      <w:r w:rsidRPr="00402618">
        <w:rPr>
          <w:rFonts w:ascii="仿宋_GB2312" w:eastAsia="仿宋_GB2312" w:hAnsi="仿宋" w:cs="宋体" w:hint="eastAsia"/>
          <w:w w:val="90"/>
          <w:kern w:val="0"/>
          <w:sz w:val="28"/>
          <w:szCs w:val="28"/>
        </w:rPr>
        <w:t xml:space="preserve">，且至少有三分之一的绿地面积在规定的建筑间距范围之外； </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（三）沿城市道路两侧的公共绿地或绿化隔离带，不在</w:t>
      </w:r>
      <w:r>
        <w:rPr>
          <w:rFonts w:ascii="仿宋_GB2312" w:eastAsia="仿宋_GB2312" w:hAnsi="仿宋" w:cs="宋体" w:hint="eastAsia"/>
          <w:w w:val="90"/>
          <w:kern w:val="0"/>
          <w:sz w:val="28"/>
          <w:szCs w:val="28"/>
        </w:rPr>
        <w:t>建筑基地</w:t>
      </w:r>
      <w:r w:rsidRPr="00402618">
        <w:rPr>
          <w:rFonts w:ascii="仿宋_GB2312" w:eastAsia="仿宋_GB2312" w:hAnsi="仿宋" w:cs="宋体" w:hint="eastAsia"/>
          <w:w w:val="90"/>
          <w:kern w:val="0"/>
          <w:sz w:val="28"/>
          <w:szCs w:val="28"/>
        </w:rPr>
        <w:t>范围内的，不得作为居住区集中绿地计算；</w:t>
      </w:r>
    </w:p>
    <w:p w:rsidR="00AD45D0" w:rsidRPr="00402618"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402618">
        <w:rPr>
          <w:rFonts w:ascii="仿宋_GB2312" w:eastAsia="仿宋_GB2312" w:hAnsi="仿宋" w:cs="宋体" w:hint="eastAsia"/>
          <w:w w:val="90"/>
          <w:kern w:val="0"/>
          <w:sz w:val="28"/>
          <w:szCs w:val="28"/>
        </w:rPr>
        <w:t>（四）一个街区内的集中绿地可按规定的指标进行统一规划、统一设计、统一建设、综合平衡。在符合整个集中绿地指标的前提下，可不在每块建筑基地内平均分布。</w:t>
      </w:r>
    </w:p>
    <w:p w:rsidR="00AD45D0" w:rsidRPr="00402618" w:rsidRDefault="00AD45D0" w:rsidP="00AD45D0">
      <w:pPr>
        <w:adjustRightInd w:val="0"/>
        <w:snapToGrid w:val="0"/>
        <w:spacing w:beforeLines="50" w:line="360" w:lineRule="auto"/>
        <w:ind w:firstLineChars="200" w:firstLine="613"/>
        <w:rPr>
          <w:rFonts w:ascii="黑体" w:eastAsia="黑体"/>
          <w:w w:val="110"/>
          <w:sz w:val="28"/>
          <w:szCs w:val="28"/>
        </w:rPr>
      </w:pPr>
      <w:r w:rsidRPr="00402618">
        <w:rPr>
          <w:rFonts w:ascii="黑体" w:eastAsia="黑体" w:hint="eastAsia"/>
          <w:w w:val="110"/>
          <w:sz w:val="28"/>
          <w:szCs w:val="28"/>
        </w:rPr>
        <w:t>第十</w:t>
      </w:r>
      <w:r>
        <w:rPr>
          <w:rFonts w:ascii="黑体" w:eastAsia="黑体" w:hint="eastAsia"/>
          <w:w w:val="110"/>
          <w:sz w:val="28"/>
          <w:szCs w:val="28"/>
        </w:rPr>
        <w:t>七</w:t>
      </w:r>
      <w:r w:rsidRPr="00402618">
        <w:rPr>
          <w:rFonts w:ascii="黑体" w:eastAsia="黑体" w:hint="eastAsia"/>
          <w:w w:val="110"/>
          <w:sz w:val="28"/>
          <w:szCs w:val="28"/>
        </w:rPr>
        <w:t>条</w:t>
      </w:r>
      <w:r>
        <w:rPr>
          <w:rFonts w:ascii="黑体" w:eastAsia="黑体" w:hint="eastAsia"/>
          <w:w w:val="110"/>
          <w:sz w:val="28"/>
          <w:szCs w:val="28"/>
        </w:rPr>
        <w:t xml:space="preserve"> </w:t>
      </w:r>
      <w:r w:rsidRPr="00402618">
        <w:rPr>
          <w:rFonts w:ascii="黑体" w:eastAsia="黑体" w:hint="eastAsia"/>
          <w:w w:val="110"/>
          <w:sz w:val="28"/>
          <w:szCs w:val="28"/>
        </w:rPr>
        <w:t>特殊情况下绿地面积的计算</w:t>
      </w:r>
    </w:p>
    <w:p w:rsidR="00AD45D0" w:rsidRPr="00354823" w:rsidRDefault="00AD45D0" w:rsidP="00AD45D0">
      <w:pPr>
        <w:adjustRightInd w:val="0"/>
        <w:snapToGrid w:val="0"/>
        <w:spacing w:line="360" w:lineRule="auto"/>
        <w:ind w:firstLineChars="200" w:firstLine="503"/>
        <w:rPr>
          <w:rFonts w:ascii="仿宋_GB2312" w:eastAsia="仿宋_GB2312" w:hAnsi="仿宋" w:cs="宋体"/>
          <w:w w:val="90"/>
          <w:kern w:val="0"/>
          <w:sz w:val="28"/>
          <w:szCs w:val="28"/>
        </w:rPr>
      </w:pPr>
      <w:r w:rsidRPr="00354823">
        <w:rPr>
          <w:rFonts w:ascii="仿宋_GB2312" w:eastAsia="仿宋_GB2312" w:hAnsi="仿宋" w:cs="宋体" w:hint="eastAsia"/>
          <w:w w:val="90"/>
          <w:kern w:val="0"/>
          <w:sz w:val="28"/>
          <w:szCs w:val="28"/>
        </w:rPr>
        <w:t>建筑用地内的水体，按以下标准计算绿地面积：</w:t>
      </w:r>
    </w:p>
    <w:p w:rsidR="00AD45D0" w:rsidRPr="00354823" w:rsidRDefault="00AD45D0" w:rsidP="00AD45D0">
      <w:pPr>
        <w:adjustRightInd w:val="0"/>
        <w:snapToGrid w:val="0"/>
        <w:spacing w:line="360" w:lineRule="auto"/>
        <w:ind w:firstLineChars="200" w:firstLine="503"/>
        <w:rPr>
          <w:rFonts w:ascii="仿宋_GB2312" w:eastAsia="仿宋_GB2312" w:hAnsi="仿宋" w:cs="宋体"/>
          <w:w w:val="90"/>
          <w:kern w:val="0"/>
          <w:sz w:val="28"/>
          <w:szCs w:val="28"/>
        </w:rPr>
      </w:pPr>
      <w:r w:rsidRPr="00354823">
        <w:rPr>
          <w:rFonts w:ascii="仿宋_GB2312" w:eastAsia="仿宋_GB2312" w:hAnsi="仿宋" w:cs="宋体" w:hint="eastAsia"/>
          <w:w w:val="90"/>
          <w:kern w:val="0"/>
          <w:sz w:val="28"/>
          <w:szCs w:val="28"/>
        </w:rPr>
        <w:t>（一）非硬质材料铺装水底的，水体不通航、岸边可以种植水生植物的，水体计入绿地面积；</w:t>
      </w:r>
    </w:p>
    <w:p w:rsidR="00AD45D0" w:rsidRPr="00354823" w:rsidRDefault="00AD45D0" w:rsidP="00AD45D0">
      <w:pPr>
        <w:adjustRightInd w:val="0"/>
        <w:snapToGrid w:val="0"/>
        <w:spacing w:line="360" w:lineRule="auto"/>
        <w:ind w:firstLineChars="200" w:firstLine="503"/>
        <w:rPr>
          <w:rFonts w:ascii="仿宋_GB2312" w:eastAsia="仿宋_GB2312" w:hAnsi="仿宋" w:cs="宋体"/>
          <w:w w:val="90"/>
          <w:kern w:val="0"/>
          <w:sz w:val="28"/>
          <w:szCs w:val="28"/>
        </w:rPr>
      </w:pPr>
      <w:r w:rsidRPr="00354823">
        <w:rPr>
          <w:rFonts w:ascii="仿宋_GB2312" w:eastAsia="仿宋_GB2312" w:hAnsi="仿宋" w:cs="宋体" w:hint="eastAsia"/>
          <w:w w:val="90"/>
          <w:kern w:val="0"/>
          <w:sz w:val="28"/>
          <w:szCs w:val="28"/>
        </w:rPr>
        <w:t>（二）非硬质材料铺装水底的，水体通航的，水体不计入绿地面积。</w:t>
      </w:r>
    </w:p>
    <w:p w:rsidR="00AD45D0" w:rsidRPr="00354823" w:rsidRDefault="00AD45D0" w:rsidP="00AD45D0">
      <w:pPr>
        <w:adjustRightInd w:val="0"/>
        <w:snapToGrid w:val="0"/>
        <w:spacing w:line="360" w:lineRule="auto"/>
        <w:ind w:firstLineChars="200" w:firstLine="503"/>
        <w:rPr>
          <w:rFonts w:ascii="仿宋_GB2312" w:eastAsia="仿宋_GB2312" w:hAnsi="仿宋" w:cs="宋体"/>
          <w:w w:val="90"/>
          <w:kern w:val="0"/>
          <w:sz w:val="28"/>
          <w:szCs w:val="28"/>
        </w:rPr>
      </w:pPr>
      <w:r w:rsidRPr="00354823">
        <w:rPr>
          <w:rFonts w:ascii="仿宋_GB2312" w:eastAsia="仿宋_GB2312" w:hAnsi="仿宋" w:cs="宋体" w:hint="eastAsia"/>
          <w:w w:val="90"/>
          <w:kern w:val="0"/>
          <w:sz w:val="28"/>
          <w:szCs w:val="28"/>
        </w:rPr>
        <w:t>以植草砖铺设的用地，不计入绿地面积。</w:t>
      </w:r>
    </w:p>
    <w:p w:rsidR="00AD45D0" w:rsidRDefault="00AD45D0" w:rsidP="00AD45D0">
      <w:pPr>
        <w:adjustRightInd w:val="0"/>
        <w:snapToGrid w:val="0"/>
        <w:spacing w:line="360" w:lineRule="auto"/>
        <w:ind w:firstLineChars="200" w:firstLine="503"/>
        <w:rPr>
          <w:rFonts w:ascii="仿宋_GB2312" w:eastAsia="仿宋_GB2312" w:hAnsi="仿宋" w:cs="宋体"/>
          <w:w w:val="90"/>
          <w:kern w:val="0"/>
          <w:sz w:val="28"/>
          <w:szCs w:val="28"/>
        </w:rPr>
      </w:pPr>
      <w:r w:rsidRPr="00354823">
        <w:rPr>
          <w:rFonts w:ascii="仿宋_GB2312" w:eastAsia="仿宋_GB2312" w:hAnsi="仿宋" w:cs="宋体" w:hint="eastAsia"/>
          <w:w w:val="90"/>
          <w:kern w:val="0"/>
          <w:sz w:val="28"/>
          <w:szCs w:val="28"/>
        </w:rPr>
        <w:t>大型购物（娱乐）中心、宾馆、商住等附属经营性停车场地内，种植胸</w:t>
      </w:r>
      <w:r w:rsidRPr="00354823">
        <w:rPr>
          <w:rFonts w:ascii="仿宋_GB2312" w:eastAsia="仿宋_GB2312" w:hAnsi="仿宋" w:cs="宋体" w:hint="eastAsia"/>
          <w:w w:val="90"/>
          <w:kern w:val="0"/>
          <w:sz w:val="28"/>
          <w:szCs w:val="28"/>
        </w:rPr>
        <w:lastRenderedPageBreak/>
        <w:t>径在</w:t>
      </w:r>
      <w:smartTag w:uri="urn:schemas-microsoft-com:office:smarttags" w:element="chmetcnv">
        <w:smartTagPr>
          <w:attr w:name="UnitName" w:val="厘米"/>
          <w:attr w:name="SourceValue" w:val="8"/>
          <w:attr w:name="HasSpace" w:val="False"/>
          <w:attr w:name="Negative" w:val="False"/>
          <w:attr w:name="NumberType" w:val="3"/>
          <w:attr w:name="TCSC" w:val="1"/>
        </w:smartTagPr>
        <w:r w:rsidRPr="00354823">
          <w:rPr>
            <w:rFonts w:ascii="仿宋_GB2312" w:eastAsia="仿宋_GB2312" w:hAnsi="仿宋" w:cs="宋体" w:hint="eastAsia"/>
            <w:w w:val="90"/>
            <w:kern w:val="0"/>
            <w:sz w:val="28"/>
            <w:szCs w:val="28"/>
          </w:rPr>
          <w:t>八厘米</w:t>
        </w:r>
      </w:smartTag>
      <w:r w:rsidRPr="00354823">
        <w:rPr>
          <w:rFonts w:ascii="仿宋_GB2312" w:eastAsia="仿宋_GB2312" w:hAnsi="仿宋" w:cs="宋体" w:hint="eastAsia"/>
          <w:w w:val="90"/>
          <w:kern w:val="0"/>
          <w:sz w:val="28"/>
          <w:szCs w:val="28"/>
        </w:rPr>
        <w:t>以上树木的，按每株</w:t>
      </w:r>
      <w:smartTag w:uri="urn:schemas-microsoft-com:office:smarttags" w:element="chmetcnv">
        <w:smartTagPr>
          <w:attr w:name="UnitName" w:val="平方米"/>
          <w:attr w:name="SourceValue" w:val="1"/>
          <w:attr w:name="HasSpace" w:val="False"/>
          <w:attr w:name="Negative" w:val="False"/>
          <w:attr w:name="NumberType" w:val="3"/>
          <w:attr w:name="TCSC" w:val="1"/>
        </w:smartTagPr>
        <w:r w:rsidRPr="00354823">
          <w:rPr>
            <w:rFonts w:ascii="仿宋_GB2312" w:eastAsia="仿宋_GB2312" w:hAnsi="仿宋" w:cs="宋体" w:hint="eastAsia"/>
            <w:w w:val="90"/>
            <w:kern w:val="0"/>
            <w:sz w:val="28"/>
            <w:szCs w:val="28"/>
          </w:rPr>
          <w:t>一平方米</w:t>
        </w:r>
      </w:smartTag>
      <w:r w:rsidRPr="00354823">
        <w:rPr>
          <w:rFonts w:ascii="仿宋_GB2312" w:eastAsia="仿宋_GB2312" w:hAnsi="仿宋" w:cs="宋体" w:hint="eastAsia"/>
          <w:w w:val="90"/>
          <w:kern w:val="0"/>
          <w:sz w:val="28"/>
          <w:szCs w:val="28"/>
        </w:rPr>
        <w:t>计入绿地面积。</w:t>
      </w:r>
    </w:p>
    <w:p w:rsidR="00AD45D0" w:rsidRPr="003C1752" w:rsidDel="00140130" w:rsidRDefault="00AD45D0" w:rsidP="00AD45D0">
      <w:pPr>
        <w:adjustRightInd w:val="0"/>
        <w:snapToGrid w:val="0"/>
        <w:spacing w:beforeLines="50" w:line="360" w:lineRule="auto"/>
        <w:ind w:firstLineChars="200" w:firstLine="613"/>
        <w:rPr>
          <w:rFonts w:ascii="黑体" w:eastAsia="黑体"/>
          <w:w w:val="110"/>
          <w:sz w:val="28"/>
          <w:szCs w:val="28"/>
        </w:rPr>
      </w:pPr>
      <w:r w:rsidRPr="003C1752">
        <w:rPr>
          <w:rFonts w:ascii="黑体" w:eastAsia="黑体" w:hint="eastAsia"/>
          <w:w w:val="110"/>
          <w:sz w:val="28"/>
          <w:szCs w:val="28"/>
        </w:rPr>
        <w:t>第</w:t>
      </w:r>
      <w:r>
        <w:rPr>
          <w:rFonts w:ascii="黑体" w:eastAsia="黑体" w:hint="eastAsia"/>
          <w:w w:val="110"/>
          <w:sz w:val="28"/>
          <w:szCs w:val="28"/>
        </w:rPr>
        <w:t>十八</w:t>
      </w:r>
      <w:r w:rsidRPr="003C1752">
        <w:rPr>
          <w:rFonts w:ascii="黑体" w:eastAsia="黑体" w:hint="eastAsia"/>
          <w:w w:val="110"/>
          <w:sz w:val="28"/>
          <w:szCs w:val="28"/>
        </w:rPr>
        <w:t>条 建设项目配套绿化竣工验收</w:t>
      </w:r>
    </w:p>
    <w:p w:rsidR="00AD45D0" w:rsidRPr="003C1752" w:rsidRDefault="00AD45D0" w:rsidP="00AD45D0">
      <w:pPr>
        <w:adjustRightInd w:val="0"/>
        <w:snapToGrid w:val="0"/>
        <w:spacing w:line="360" w:lineRule="auto"/>
        <w:ind w:firstLineChars="200" w:firstLine="503"/>
        <w:rPr>
          <w:rFonts w:ascii="仿宋_GB2312" w:eastAsia="仿宋_GB2312" w:hAnsi="仿宋" w:cs="宋体"/>
          <w:w w:val="90"/>
          <w:kern w:val="0"/>
          <w:sz w:val="28"/>
          <w:szCs w:val="28"/>
        </w:rPr>
      </w:pPr>
      <w:r w:rsidRPr="003C1752">
        <w:rPr>
          <w:rFonts w:ascii="仿宋_GB2312" w:eastAsia="仿宋_GB2312" w:hAnsi="仿宋" w:cs="宋体" w:hint="eastAsia"/>
          <w:w w:val="90"/>
          <w:kern w:val="0"/>
          <w:sz w:val="28"/>
          <w:szCs w:val="28"/>
        </w:rPr>
        <w:t>建设项目配套绿化方案审核由市绿化管理部门审核的，由市绿化管理部门验收；建设项目配套绿化方案审核由区绿化管理部门审核的，由区绿化管理部门验收；依法委托审批部门管辖范围内的建设项目，由依法委托审批部门验收。</w:t>
      </w:r>
    </w:p>
    <w:p w:rsidR="00AD45D0" w:rsidRPr="00354823" w:rsidRDefault="00AD45D0" w:rsidP="00AD45D0">
      <w:pPr>
        <w:adjustRightInd w:val="0"/>
        <w:snapToGrid w:val="0"/>
        <w:spacing w:line="360" w:lineRule="auto"/>
        <w:ind w:firstLine="656"/>
        <w:rPr>
          <w:rFonts w:ascii="黑体" w:eastAsia="黑体"/>
          <w:w w:val="110"/>
          <w:sz w:val="28"/>
          <w:szCs w:val="28"/>
        </w:rPr>
      </w:pPr>
      <w:r w:rsidRPr="000C2E2C">
        <w:rPr>
          <w:rFonts w:ascii="黑体" w:eastAsia="黑体" w:hint="eastAsia"/>
          <w:w w:val="110"/>
          <w:sz w:val="28"/>
          <w:szCs w:val="28"/>
        </w:rPr>
        <w:t>第</w:t>
      </w:r>
      <w:r>
        <w:rPr>
          <w:rFonts w:ascii="黑体" w:eastAsia="黑体" w:hint="eastAsia"/>
          <w:w w:val="110"/>
          <w:sz w:val="28"/>
          <w:szCs w:val="28"/>
        </w:rPr>
        <w:t>十九</w:t>
      </w:r>
      <w:r w:rsidRPr="000C2E2C">
        <w:rPr>
          <w:rFonts w:ascii="黑体" w:eastAsia="黑体" w:hint="eastAsia"/>
          <w:w w:val="110"/>
          <w:sz w:val="28"/>
          <w:szCs w:val="28"/>
        </w:rPr>
        <w:t>条</w:t>
      </w:r>
      <w:r>
        <w:rPr>
          <w:rFonts w:ascii="黑体" w:eastAsia="黑体" w:hint="eastAsia"/>
          <w:w w:val="110"/>
          <w:sz w:val="28"/>
          <w:szCs w:val="28"/>
        </w:rPr>
        <w:t xml:space="preserve">  </w:t>
      </w:r>
      <w:r w:rsidRPr="00354823">
        <w:rPr>
          <w:rFonts w:ascii="黑体" w:eastAsia="黑体" w:hint="eastAsia"/>
          <w:w w:val="110"/>
          <w:sz w:val="28"/>
          <w:szCs w:val="28"/>
        </w:rPr>
        <w:t>建（构）筑物、</w:t>
      </w:r>
      <w:r w:rsidRPr="00354823">
        <w:rPr>
          <w:rFonts w:ascii="黑体" w:eastAsia="黑体"/>
          <w:w w:val="110"/>
          <w:sz w:val="28"/>
          <w:szCs w:val="28"/>
        </w:rPr>
        <w:t>商业服务设施</w:t>
      </w:r>
      <w:r w:rsidRPr="00354823">
        <w:rPr>
          <w:rFonts w:ascii="黑体" w:eastAsia="黑体" w:hint="eastAsia"/>
          <w:w w:val="110"/>
          <w:sz w:val="28"/>
          <w:szCs w:val="28"/>
        </w:rPr>
        <w:t>的含义</w:t>
      </w:r>
    </w:p>
    <w:p w:rsidR="00AD45D0" w:rsidRPr="00354823" w:rsidRDefault="00AD45D0" w:rsidP="00AD45D0">
      <w:pPr>
        <w:adjustRightInd w:val="0"/>
        <w:snapToGrid w:val="0"/>
        <w:spacing w:line="360" w:lineRule="auto"/>
        <w:ind w:firstLineChars="200" w:firstLine="503"/>
        <w:rPr>
          <w:rFonts w:ascii="仿宋_GB2312" w:eastAsia="仿宋_GB2312" w:cs="宋体"/>
          <w:b/>
          <w:color w:val="FF0000"/>
          <w:w w:val="90"/>
          <w:kern w:val="0"/>
          <w:sz w:val="28"/>
          <w:szCs w:val="28"/>
          <w:lang w:val="zh-CN"/>
        </w:rPr>
      </w:pPr>
      <w:r w:rsidRPr="00354823">
        <w:rPr>
          <w:rFonts w:ascii="仿宋_GB2312" w:eastAsia="仿宋_GB2312" w:cs="宋体" w:hint="eastAsia"/>
          <w:color w:val="000000"/>
          <w:w w:val="90"/>
          <w:kern w:val="0"/>
          <w:sz w:val="28"/>
          <w:szCs w:val="28"/>
          <w:lang w:val="zh-CN"/>
        </w:rPr>
        <w:t>本规定所称的建筑物，是指公园绿地中的游憩设施（如亭、廊、厅、</w:t>
      </w:r>
      <w:proofErr w:type="gramStart"/>
      <w:r w:rsidRPr="00354823">
        <w:rPr>
          <w:rFonts w:ascii="仿宋_GB2312" w:eastAsia="仿宋_GB2312" w:cs="宋体" w:hint="eastAsia"/>
          <w:color w:val="000000"/>
          <w:w w:val="90"/>
          <w:kern w:val="0"/>
          <w:sz w:val="28"/>
          <w:szCs w:val="28"/>
          <w:lang w:val="zh-CN"/>
        </w:rPr>
        <w:t>榭</w:t>
      </w:r>
      <w:proofErr w:type="gramEnd"/>
      <w:r w:rsidRPr="00354823">
        <w:rPr>
          <w:rFonts w:ascii="仿宋_GB2312" w:eastAsia="仿宋_GB2312" w:cs="宋体" w:hint="eastAsia"/>
          <w:color w:val="000000"/>
          <w:w w:val="90"/>
          <w:kern w:val="0"/>
          <w:sz w:val="28"/>
          <w:szCs w:val="28"/>
          <w:lang w:val="zh-CN"/>
        </w:rPr>
        <w:t>、塔及游艺机、游乐设施等）、服务设施（如小卖部、茶室、咖啡厅、餐厅、摄影部、售票房、健身运动房、游乐项目操作间等）、公用设施（如厕所、办公用房、停车库等）、管理设施（如变电站、泵房、垃圾房、生产温室、仓库、工具材料间等）等。</w:t>
      </w:r>
    </w:p>
    <w:p w:rsidR="00AD45D0" w:rsidRPr="00354823" w:rsidRDefault="00AD45D0" w:rsidP="00AD45D0">
      <w:pPr>
        <w:adjustRightInd w:val="0"/>
        <w:snapToGrid w:val="0"/>
        <w:spacing w:line="360" w:lineRule="auto"/>
        <w:ind w:firstLineChars="200" w:firstLine="503"/>
        <w:rPr>
          <w:rFonts w:ascii="仿宋_GB2312" w:eastAsia="仿宋_GB2312" w:cs="宋体"/>
          <w:color w:val="000000"/>
          <w:w w:val="90"/>
          <w:kern w:val="0"/>
          <w:sz w:val="28"/>
          <w:szCs w:val="28"/>
          <w:lang w:val="zh-CN"/>
        </w:rPr>
      </w:pPr>
      <w:r w:rsidRPr="00354823">
        <w:rPr>
          <w:rFonts w:ascii="仿宋_GB2312" w:eastAsia="仿宋_GB2312" w:cs="宋体" w:hint="eastAsia"/>
          <w:w w:val="90"/>
          <w:kern w:val="0"/>
          <w:sz w:val="28"/>
          <w:szCs w:val="28"/>
          <w:lang w:val="zh-CN"/>
        </w:rPr>
        <w:t>本规定所称的构筑物，是指</w:t>
      </w:r>
      <w:r w:rsidRPr="00354823">
        <w:rPr>
          <w:rFonts w:ascii="仿宋_GB2312" w:eastAsia="仿宋_GB2312" w:cs="宋体" w:hint="eastAsia"/>
          <w:color w:val="000000"/>
          <w:w w:val="90"/>
          <w:kern w:val="0"/>
          <w:sz w:val="28"/>
          <w:szCs w:val="28"/>
          <w:lang w:val="zh-CN"/>
        </w:rPr>
        <w:t>公园绿地中的</w:t>
      </w:r>
      <w:r w:rsidRPr="00354823">
        <w:rPr>
          <w:rFonts w:ascii="仿宋_GB2312" w:eastAsia="仿宋_GB2312" w:cs="宋体" w:hint="eastAsia"/>
          <w:w w:val="90"/>
          <w:kern w:val="0"/>
          <w:sz w:val="28"/>
          <w:szCs w:val="28"/>
          <w:lang w:val="zh-CN"/>
        </w:rPr>
        <w:t>园桥、雕塑、构架、驳岸、假山、喷泉，隔离矮墙、景墙</w:t>
      </w:r>
      <w:r w:rsidRPr="00354823">
        <w:rPr>
          <w:rFonts w:ascii="仿宋_GB2312" w:eastAsia="仿宋_GB2312" w:cs="宋体"/>
          <w:color w:val="000000"/>
          <w:w w:val="90"/>
          <w:kern w:val="0"/>
          <w:sz w:val="28"/>
          <w:szCs w:val="28"/>
          <w:lang w:val="zh-CN"/>
        </w:rPr>
        <w:t>等</w:t>
      </w:r>
      <w:r w:rsidRPr="00354823">
        <w:rPr>
          <w:rFonts w:ascii="仿宋_GB2312" w:eastAsia="仿宋_GB2312" w:cs="宋体" w:hint="eastAsia"/>
          <w:color w:val="000000"/>
          <w:w w:val="90"/>
          <w:kern w:val="0"/>
          <w:sz w:val="28"/>
          <w:szCs w:val="28"/>
          <w:lang w:val="zh-CN"/>
        </w:rPr>
        <w:t>。</w:t>
      </w:r>
    </w:p>
    <w:p w:rsidR="00AD45D0" w:rsidRDefault="00AD45D0" w:rsidP="00AD45D0">
      <w:pPr>
        <w:spacing w:line="640" w:lineRule="exact"/>
        <w:ind w:firstLineChars="196" w:firstLine="493"/>
        <w:rPr>
          <w:rFonts w:ascii="仿宋_GB2312" w:eastAsia="仿宋_GB2312" w:hAnsi="宋体"/>
          <w:noProof/>
          <w:kern w:val="0"/>
          <w:sz w:val="30"/>
          <w:szCs w:val="30"/>
        </w:rPr>
      </w:pPr>
      <w:r w:rsidRPr="00354823">
        <w:rPr>
          <w:rFonts w:ascii="仿宋_GB2312" w:eastAsia="仿宋_GB2312" w:cs="宋体" w:hint="eastAsia"/>
          <w:w w:val="90"/>
          <w:kern w:val="0"/>
          <w:sz w:val="28"/>
          <w:szCs w:val="28"/>
          <w:lang w:val="zh-CN"/>
        </w:rPr>
        <w:t>本规定</w:t>
      </w:r>
      <w:r w:rsidRPr="00354823">
        <w:rPr>
          <w:rFonts w:ascii="仿宋_GB2312" w:eastAsia="仿宋_GB2312" w:cs="宋体"/>
          <w:w w:val="90"/>
          <w:kern w:val="0"/>
          <w:sz w:val="28"/>
          <w:szCs w:val="28"/>
          <w:lang w:val="zh-CN"/>
        </w:rPr>
        <w:t>所称的商业服务设施，是指从事商品流通、为</w:t>
      </w:r>
      <w:r w:rsidRPr="00354823">
        <w:rPr>
          <w:rFonts w:ascii="仿宋_GB2312" w:eastAsia="仿宋_GB2312" w:cs="宋体" w:hint="eastAsia"/>
          <w:w w:val="90"/>
          <w:kern w:val="0"/>
          <w:sz w:val="28"/>
          <w:szCs w:val="28"/>
          <w:lang w:val="zh-CN"/>
        </w:rPr>
        <w:t>游客提供服务</w:t>
      </w:r>
      <w:r w:rsidRPr="00354823">
        <w:rPr>
          <w:rFonts w:ascii="仿宋_GB2312" w:eastAsia="仿宋_GB2312" w:cs="宋体"/>
          <w:w w:val="90"/>
          <w:kern w:val="0"/>
          <w:sz w:val="28"/>
          <w:szCs w:val="28"/>
          <w:lang w:val="zh-CN"/>
        </w:rPr>
        <w:t>的场所，包括</w:t>
      </w:r>
      <w:r w:rsidRPr="00354823">
        <w:rPr>
          <w:rFonts w:ascii="仿宋_GB2312" w:eastAsia="仿宋_GB2312" w:cs="宋体" w:hint="eastAsia"/>
          <w:w w:val="90"/>
          <w:kern w:val="0"/>
          <w:sz w:val="28"/>
          <w:szCs w:val="28"/>
          <w:lang w:val="zh-CN"/>
        </w:rPr>
        <w:t>餐厅、茶</w:t>
      </w:r>
      <w:r w:rsidRPr="00354823">
        <w:rPr>
          <w:rFonts w:ascii="仿宋_GB2312" w:eastAsia="仿宋_GB2312" w:cs="宋体" w:hint="eastAsia"/>
          <w:color w:val="000000"/>
          <w:w w:val="90"/>
          <w:kern w:val="0"/>
          <w:sz w:val="28"/>
          <w:szCs w:val="28"/>
          <w:lang w:val="zh-CN"/>
        </w:rPr>
        <w:t>室</w:t>
      </w:r>
      <w:r w:rsidRPr="00354823">
        <w:rPr>
          <w:rFonts w:ascii="仿宋_GB2312" w:eastAsia="仿宋_GB2312" w:cs="宋体" w:hint="eastAsia"/>
          <w:w w:val="90"/>
          <w:kern w:val="0"/>
          <w:sz w:val="28"/>
          <w:szCs w:val="28"/>
          <w:lang w:val="zh-CN"/>
        </w:rPr>
        <w:t>、咖啡厅、小卖部、</w:t>
      </w:r>
      <w:r w:rsidRPr="00354823">
        <w:rPr>
          <w:rFonts w:ascii="仿宋_GB2312" w:eastAsia="仿宋_GB2312" w:cs="宋体" w:hint="eastAsia"/>
          <w:color w:val="000000"/>
          <w:w w:val="90"/>
          <w:kern w:val="0"/>
          <w:sz w:val="28"/>
          <w:szCs w:val="28"/>
          <w:lang w:val="zh-CN"/>
        </w:rPr>
        <w:t>摄影部</w:t>
      </w:r>
      <w:r w:rsidRPr="00354823">
        <w:rPr>
          <w:rFonts w:ascii="仿宋_GB2312" w:eastAsia="仿宋_GB2312" w:cs="宋体" w:hint="eastAsia"/>
          <w:w w:val="90"/>
          <w:kern w:val="0"/>
          <w:sz w:val="28"/>
          <w:szCs w:val="28"/>
          <w:lang w:val="zh-CN"/>
        </w:rPr>
        <w:t>等</w:t>
      </w:r>
      <w:r w:rsidRPr="00354823">
        <w:rPr>
          <w:rFonts w:ascii="仿宋_GB2312" w:eastAsia="仿宋_GB2312" w:cs="宋体"/>
          <w:w w:val="90"/>
          <w:kern w:val="0"/>
          <w:sz w:val="28"/>
          <w:szCs w:val="28"/>
          <w:lang w:val="zh-CN"/>
        </w:rPr>
        <w:t>。</w:t>
      </w:r>
    </w:p>
    <w:p w:rsidR="00AD45D0" w:rsidRPr="00354823" w:rsidRDefault="00AD45D0" w:rsidP="00AD45D0">
      <w:pPr>
        <w:adjustRightInd w:val="0"/>
        <w:snapToGrid w:val="0"/>
        <w:spacing w:beforeLines="50" w:afterLines="50" w:line="360" w:lineRule="auto"/>
        <w:ind w:firstLineChars="200" w:firstLine="600"/>
        <w:rPr>
          <w:rFonts w:ascii="黑体" w:eastAsia="黑体"/>
          <w:w w:val="110"/>
          <w:sz w:val="28"/>
          <w:szCs w:val="28"/>
        </w:rPr>
      </w:pPr>
      <w:r>
        <w:rPr>
          <w:rFonts w:ascii="仿宋_GB2312" w:eastAsia="仿宋_GB2312" w:hAnsi="宋体" w:hint="eastAsia"/>
          <w:noProof/>
          <w:kern w:val="0"/>
          <w:sz w:val="30"/>
          <w:szCs w:val="30"/>
        </w:rPr>
        <w:t xml:space="preserve">  </w:t>
      </w:r>
      <w:r w:rsidRPr="00354823">
        <w:rPr>
          <w:rFonts w:ascii="黑体" w:eastAsia="黑体" w:hint="eastAsia"/>
          <w:w w:val="110"/>
          <w:sz w:val="28"/>
          <w:szCs w:val="28"/>
        </w:rPr>
        <w:t>第二十条</w:t>
      </w:r>
      <w:r>
        <w:rPr>
          <w:rFonts w:ascii="黑体" w:eastAsia="黑体" w:hint="eastAsia"/>
          <w:w w:val="110"/>
          <w:sz w:val="28"/>
          <w:szCs w:val="28"/>
        </w:rPr>
        <w:t xml:space="preserve"> </w:t>
      </w:r>
      <w:r w:rsidRPr="00354823">
        <w:rPr>
          <w:rFonts w:ascii="黑体" w:eastAsia="黑体" w:hint="eastAsia"/>
          <w:w w:val="110"/>
          <w:sz w:val="28"/>
          <w:szCs w:val="28"/>
        </w:rPr>
        <w:t>施行日期</w:t>
      </w:r>
    </w:p>
    <w:p w:rsidR="00AD45D0" w:rsidRPr="006F3A9F" w:rsidRDefault="00AD45D0" w:rsidP="00AD45D0">
      <w:pPr>
        <w:widowControl/>
        <w:adjustRightInd w:val="0"/>
        <w:snapToGrid w:val="0"/>
        <w:spacing w:line="360" w:lineRule="auto"/>
        <w:ind w:firstLineChars="200" w:firstLine="503"/>
        <w:rPr>
          <w:rFonts w:ascii="仿宋_GB2312" w:eastAsia="仿宋_GB2312" w:hAnsi="仿宋" w:cs="宋体"/>
          <w:w w:val="90"/>
          <w:kern w:val="0"/>
          <w:sz w:val="28"/>
          <w:szCs w:val="28"/>
        </w:rPr>
      </w:pPr>
      <w:r w:rsidRPr="006F3A9F">
        <w:rPr>
          <w:rFonts w:ascii="仿宋_GB2312" w:eastAsia="仿宋_GB2312" w:cs="宋体" w:hint="eastAsia"/>
          <w:w w:val="90"/>
          <w:kern w:val="0"/>
          <w:sz w:val="28"/>
          <w:szCs w:val="28"/>
          <w:lang w:val="zh-CN"/>
        </w:rPr>
        <w:t>本</w:t>
      </w:r>
      <w:bookmarkStart w:id="0" w:name="baidusnap3"/>
      <w:bookmarkEnd w:id="0"/>
      <w:r w:rsidRPr="006F3A9F">
        <w:rPr>
          <w:rFonts w:ascii="仿宋_GB2312" w:eastAsia="仿宋_GB2312" w:cs="宋体" w:hint="eastAsia"/>
          <w:w w:val="90"/>
          <w:kern w:val="0"/>
          <w:sz w:val="28"/>
          <w:szCs w:val="28"/>
          <w:lang w:val="zh-CN"/>
        </w:rPr>
        <w:t>规定</w:t>
      </w:r>
      <w:r w:rsidRPr="006F3A9F">
        <w:rPr>
          <w:rFonts w:ascii="仿宋_GB2312" w:eastAsia="仿宋_GB2312" w:cs="宋体"/>
          <w:w w:val="90"/>
          <w:kern w:val="0"/>
          <w:sz w:val="28"/>
          <w:szCs w:val="28"/>
          <w:lang w:val="zh-CN"/>
        </w:rPr>
        <w:t>自20</w:t>
      </w:r>
      <w:r>
        <w:rPr>
          <w:rFonts w:ascii="仿宋_GB2312" w:eastAsia="仿宋_GB2312" w:cs="宋体" w:hint="eastAsia"/>
          <w:w w:val="90"/>
          <w:kern w:val="0"/>
          <w:sz w:val="28"/>
          <w:szCs w:val="28"/>
          <w:lang w:val="zh-CN"/>
        </w:rPr>
        <w:t>23</w:t>
      </w:r>
      <w:r w:rsidRPr="006F3A9F">
        <w:rPr>
          <w:rFonts w:ascii="仿宋_GB2312" w:eastAsia="仿宋_GB2312" w:cs="宋体"/>
          <w:w w:val="90"/>
          <w:kern w:val="0"/>
          <w:sz w:val="28"/>
          <w:szCs w:val="28"/>
          <w:lang w:val="zh-CN"/>
        </w:rPr>
        <w:t>年</w:t>
      </w:r>
      <w:r>
        <w:rPr>
          <w:rFonts w:ascii="仿宋_GB2312" w:eastAsia="仿宋_GB2312" w:cs="宋体" w:hint="eastAsia"/>
          <w:w w:val="90"/>
          <w:kern w:val="0"/>
          <w:sz w:val="28"/>
          <w:szCs w:val="28"/>
          <w:lang w:val="zh-CN"/>
        </w:rPr>
        <w:t>10</w:t>
      </w:r>
      <w:r w:rsidRPr="006F3A9F">
        <w:rPr>
          <w:rFonts w:ascii="仿宋_GB2312" w:eastAsia="仿宋_GB2312" w:cs="宋体"/>
          <w:w w:val="90"/>
          <w:kern w:val="0"/>
          <w:sz w:val="28"/>
          <w:szCs w:val="28"/>
          <w:lang w:val="zh-CN"/>
        </w:rPr>
        <w:t>月</w:t>
      </w:r>
      <w:r>
        <w:rPr>
          <w:rFonts w:ascii="仿宋_GB2312" w:eastAsia="仿宋_GB2312" w:cs="宋体" w:hint="eastAsia"/>
          <w:w w:val="90"/>
          <w:kern w:val="0"/>
          <w:sz w:val="28"/>
          <w:szCs w:val="28"/>
          <w:lang w:val="zh-CN"/>
        </w:rPr>
        <w:t>1</w:t>
      </w:r>
      <w:r w:rsidRPr="006F3A9F">
        <w:rPr>
          <w:rFonts w:ascii="仿宋_GB2312" w:eastAsia="仿宋_GB2312" w:cs="宋体"/>
          <w:w w:val="90"/>
          <w:kern w:val="0"/>
          <w:sz w:val="28"/>
          <w:szCs w:val="28"/>
          <w:lang w:val="zh-CN"/>
        </w:rPr>
        <w:t>日起</w:t>
      </w:r>
      <w:r w:rsidRPr="006F3A9F">
        <w:rPr>
          <w:rFonts w:ascii="仿宋_GB2312" w:eastAsia="仿宋_GB2312" w:cs="宋体" w:hint="eastAsia"/>
          <w:w w:val="90"/>
          <w:kern w:val="0"/>
          <w:sz w:val="28"/>
          <w:szCs w:val="28"/>
          <w:lang w:val="zh-CN"/>
        </w:rPr>
        <w:t>施行。《上海市绿化行政许可审核若干规定》（</w:t>
      </w:r>
      <w:proofErr w:type="gramStart"/>
      <w:r w:rsidRPr="006F3A9F">
        <w:rPr>
          <w:rFonts w:ascii="仿宋_GB2312" w:eastAsia="仿宋_GB2312" w:cs="宋体" w:hint="eastAsia"/>
          <w:w w:val="90"/>
          <w:kern w:val="0"/>
          <w:sz w:val="28"/>
          <w:szCs w:val="28"/>
          <w:lang w:val="zh-CN"/>
        </w:rPr>
        <w:t>沪绿容</w:t>
      </w:r>
      <w:proofErr w:type="gramEnd"/>
      <w:r w:rsidRPr="006F3A9F">
        <w:rPr>
          <w:rFonts w:ascii="仿宋_GB2312" w:eastAsia="仿宋_GB2312" w:cs="宋体" w:hint="eastAsia"/>
          <w:w w:val="90"/>
          <w:kern w:val="0"/>
          <w:sz w:val="28"/>
          <w:szCs w:val="28"/>
          <w:lang w:val="zh-CN"/>
        </w:rPr>
        <w:t>〔20</w:t>
      </w:r>
      <w:r>
        <w:rPr>
          <w:rFonts w:ascii="仿宋_GB2312" w:eastAsia="仿宋_GB2312" w:cs="宋体" w:hint="eastAsia"/>
          <w:w w:val="90"/>
          <w:kern w:val="0"/>
          <w:sz w:val="28"/>
          <w:szCs w:val="28"/>
          <w:lang w:val="zh-CN"/>
        </w:rPr>
        <w:t>18</w:t>
      </w:r>
      <w:r w:rsidRPr="006F3A9F">
        <w:rPr>
          <w:rFonts w:ascii="仿宋_GB2312" w:eastAsia="仿宋_GB2312" w:cs="宋体" w:hint="eastAsia"/>
          <w:w w:val="90"/>
          <w:kern w:val="0"/>
          <w:sz w:val="28"/>
          <w:szCs w:val="28"/>
          <w:lang w:val="zh-CN"/>
        </w:rPr>
        <w:t>〕</w:t>
      </w:r>
      <w:r>
        <w:rPr>
          <w:rFonts w:ascii="仿宋_GB2312" w:eastAsia="仿宋_GB2312" w:cs="宋体" w:hint="eastAsia"/>
          <w:w w:val="90"/>
          <w:kern w:val="0"/>
          <w:sz w:val="28"/>
          <w:szCs w:val="28"/>
          <w:lang w:val="zh-CN"/>
        </w:rPr>
        <w:t>6</w:t>
      </w:r>
      <w:r w:rsidRPr="006F3A9F">
        <w:rPr>
          <w:rFonts w:ascii="仿宋_GB2312" w:eastAsia="仿宋_GB2312" w:cs="宋体" w:hint="eastAsia"/>
          <w:w w:val="90"/>
          <w:kern w:val="0"/>
          <w:sz w:val="28"/>
          <w:szCs w:val="28"/>
          <w:lang w:val="zh-CN"/>
        </w:rPr>
        <w:t>号）同时废止。</w:t>
      </w:r>
    </w:p>
    <w:p w:rsidR="00E32A04" w:rsidRPr="00AD45D0" w:rsidRDefault="00E32A04"/>
    <w:sectPr w:rsidR="00E32A04" w:rsidRPr="00AD45D0" w:rsidSect="00E32A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等线">
    <w:altName w:val="Arial Unicode MS"/>
    <w:charset w:val="86"/>
    <w:family w:val="auto"/>
    <w:pitch w:val="default"/>
    <w:sig w:usb0="00000000"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6F613C"/>
    <w:multiLevelType w:val="hybridMultilevel"/>
    <w:tmpl w:val="3E58080A"/>
    <w:lvl w:ilvl="0" w:tplc="4538C190">
      <w:start w:val="1"/>
      <w:numFmt w:val="japaneseCounting"/>
      <w:lvlText w:val="（%1）"/>
      <w:lvlJc w:val="left"/>
      <w:pPr>
        <w:tabs>
          <w:tab w:val="num" w:pos="1268"/>
        </w:tabs>
        <w:ind w:left="1268" w:hanging="765"/>
      </w:pPr>
      <w:rPr>
        <w:rFonts w:hint="default"/>
      </w:rPr>
    </w:lvl>
    <w:lvl w:ilvl="1" w:tplc="04090019" w:tentative="1">
      <w:start w:val="1"/>
      <w:numFmt w:val="lowerLetter"/>
      <w:lvlText w:val="%2)"/>
      <w:lvlJc w:val="left"/>
      <w:pPr>
        <w:tabs>
          <w:tab w:val="num" w:pos="1343"/>
        </w:tabs>
        <w:ind w:left="1343" w:hanging="420"/>
      </w:pPr>
    </w:lvl>
    <w:lvl w:ilvl="2" w:tplc="0409001B" w:tentative="1">
      <w:start w:val="1"/>
      <w:numFmt w:val="lowerRoman"/>
      <w:lvlText w:val="%3."/>
      <w:lvlJc w:val="right"/>
      <w:pPr>
        <w:tabs>
          <w:tab w:val="num" w:pos="1763"/>
        </w:tabs>
        <w:ind w:left="1763" w:hanging="420"/>
      </w:pPr>
    </w:lvl>
    <w:lvl w:ilvl="3" w:tplc="0409000F" w:tentative="1">
      <w:start w:val="1"/>
      <w:numFmt w:val="decimal"/>
      <w:lvlText w:val="%4."/>
      <w:lvlJc w:val="left"/>
      <w:pPr>
        <w:tabs>
          <w:tab w:val="num" w:pos="2183"/>
        </w:tabs>
        <w:ind w:left="2183" w:hanging="420"/>
      </w:pPr>
    </w:lvl>
    <w:lvl w:ilvl="4" w:tplc="04090019" w:tentative="1">
      <w:start w:val="1"/>
      <w:numFmt w:val="lowerLetter"/>
      <w:lvlText w:val="%5)"/>
      <w:lvlJc w:val="left"/>
      <w:pPr>
        <w:tabs>
          <w:tab w:val="num" w:pos="2603"/>
        </w:tabs>
        <w:ind w:left="2603" w:hanging="420"/>
      </w:pPr>
    </w:lvl>
    <w:lvl w:ilvl="5" w:tplc="0409001B" w:tentative="1">
      <w:start w:val="1"/>
      <w:numFmt w:val="lowerRoman"/>
      <w:lvlText w:val="%6."/>
      <w:lvlJc w:val="right"/>
      <w:pPr>
        <w:tabs>
          <w:tab w:val="num" w:pos="3023"/>
        </w:tabs>
        <w:ind w:left="3023" w:hanging="420"/>
      </w:pPr>
    </w:lvl>
    <w:lvl w:ilvl="6" w:tplc="0409000F" w:tentative="1">
      <w:start w:val="1"/>
      <w:numFmt w:val="decimal"/>
      <w:lvlText w:val="%7."/>
      <w:lvlJc w:val="left"/>
      <w:pPr>
        <w:tabs>
          <w:tab w:val="num" w:pos="3443"/>
        </w:tabs>
        <w:ind w:left="3443" w:hanging="420"/>
      </w:pPr>
    </w:lvl>
    <w:lvl w:ilvl="7" w:tplc="04090019" w:tentative="1">
      <w:start w:val="1"/>
      <w:numFmt w:val="lowerLetter"/>
      <w:lvlText w:val="%8)"/>
      <w:lvlJc w:val="left"/>
      <w:pPr>
        <w:tabs>
          <w:tab w:val="num" w:pos="3863"/>
        </w:tabs>
        <w:ind w:left="3863" w:hanging="420"/>
      </w:pPr>
    </w:lvl>
    <w:lvl w:ilvl="8" w:tplc="0409001B" w:tentative="1">
      <w:start w:val="1"/>
      <w:numFmt w:val="lowerRoman"/>
      <w:lvlText w:val="%9."/>
      <w:lvlJc w:val="right"/>
      <w:pPr>
        <w:tabs>
          <w:tab w:val="num" w:pos="4283"/>
        </w:tabs>
        <w:ind w:left="4283"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45D0"/>
    <w:rsid w:val="00AD45D0"/>
    <w:rsid w:val="00E32A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45D0"/>
    <w:pPr>
      <w:widowControl w:val="0"/>
      <w:jc w:val="both"/>
    </w:pPr>
    <w:rPr>
      <w:rFonts w:ascii="等线" w:eastAsia="等线" w:hAnsi="等线"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Char"/>
    <w:rsid w:val="00AD45D0"/>
    <w:pPr>
      <w:ind w:firstLine="420"/>
    </w:pPr>
    <w:rPr>
      <w:rFonts w:ascii="宋体" w:eastAsia="宋体" w:hAnsi="宋体"/>
      <w:sz w:val="28"/>
      <w:szCs w:val="20"/>
    </w:rPr>
  </w:style>
  <w:style w:type="character" w:customStyle="1" w:styleId="2Char">
    <w:name w:val="正文文本缩进 2 Char"/>
    <w:basedOn w:val="a0"/>
    <w:link w:val="2"/>
    <w:rsid w:val="00AD45D0"/>
    <w:rPr>
      <w:rFonts w:ascii="宋体" w:eastAsia="宋体" w:hAnsi="宋体" w:cs="Times New Roman"/>
      <w:sz w:val="28"/>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775</Words>
  <Characters>4418</Characters>
  <Application>Microsoft Office Word</Application>
  <DocSecurity>0</DocSecurity>
  <Lines>36</Lines>
  <Paragraphs>10</Paragraphs>
  <ScaleCrop>false</ScaleCrop>
  <Company>Microsoft</Company>
  <LinksUpToDate>false</LinksUpToDate>
  <CharactersWithSpaces>5183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2023-08-07T05:41:00Z</dcterms:created>
  <dcterms:modified xsi:type="dcterms:W3CDTF">2023-08-07T05:41:00Z</dcterms:modified>
</cp:coreProperties>
</file>