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A2D" w:rsidRDefault="00F44A2D">
      <w:pPr>
        <w:pStyle w:val="ac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772216">
      <w:pPr>
        <w:pStyle w:val="ad"/>
      </w:pPr>
      <w:r>
        <w:rPr>
          <w:rFonts w:hint="eastAsia"/>
        </w:rPr>
        <w:t>上海市互花米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技术手册</w:t>
      </w:r>
    </w:p>
    <w:p w:rsidR="00F44A2D" w:rsidRDefault="00772216">
      <w:pPr>
        <w:pStyle w:val="ad"/>
      </w:pPr>
      <w:r>
        <w:t>（</w:t>
      </w:r>
      <w:r>
        <w:rPr>
          <w:rFonts w:hint="eastAsia"/>
        </w:rPr>
        <w:t>第一版</w:t>
      </w:r>
      <w:r>
        <w:t>）</w:t>
      </w: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F44A2D">
      <w:pPr>
        <w:pStyle w:val="ad"/>
      </w:pPr>
    </w:p>
    <w:p w:rsidR="00F44A2D" w:rsidRDefault="002535DC">
      <w:pPr>
        <w:pStyle w:val="ad"/>
      </w:pPr>
      <w:r w:rsidRPr="00DD48E6">
        <w:rPr>
          <w:rFonts w:ascii="黑体" w:hAnsi="黑体" w:hint="eastAsia"/>
          <w:b w:val="0"/>
          <w:sz w:val="30"/>
          <w:szCs w:val="30"/>
        </w:rPr>
        <w:t>上海市林业局</w:t>
      </w:r>
    </w:p>
    <w:p w:rsidR="00F44A2D" w:rsidRPr="00DD48E6" w:rsidRDefault="002535DC">
      <w:pPr>
        <w:pStyle w:val="ad"/>
        <w:rPr>
          <w:rFonts w:ascii="黑体" w:hAnsi="黑体" w:hint="eastAsia"/>
          <w:b w:val="0"/>
          <w:sz w:val="30"/>
          <w:szCs w:val="30"/>
        </w:rPr>
      </w:pPr>
      <w:r>
        <w:rPr>
          <w:rFonts w:ascii="黑体" w:hAnsi="黑体" w:hint="eastAsia"/>
          <w:b w:val="0"/>
          <w:sz w:val="30"/>
          <w:szCs w:val="30"/>
        </w:rPr>
        <w:t>上海勘测设计研究院有限公司</w:t>
      </w:r>
    </w:p>
    <w:p w:rsidR="00F44A2D" w:rsidRDefault="00F44A2D">
      <w:pPr>
        <w:pStyle w:val="ae"/>
      </w:pPr>
    </w:p>
    <w:p w:rsidR="00F44A2D" w:rsidRDefault="00772216">
      <w:pPr>
        <w:pStyle w:val="ac"/>
        <w:jc w:val="center"/>
      </w:pP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</w:p>
    <w:p w:rsidR="00F44A2D" w:rsidRDefault="00F44A2D">
      <w:pPr>
        <w:pStyle w:val="ac"/>
        <w:jc w:val="center"/>
        <w:sectPr w:rsidR="00F44A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4A2D" w:rsidRDefault="00772216">
      <w:pPr>
        <w:pStyle w:val="ac"/>
        <w:jc w:val="center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</w:t>
      </w:r>
      <w:r>
        <w:rPr>
          <w:rFonts w:hint="eastAsia"/>
        </w:rPr>
        <w:t>录</w:t>
      </w:r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r w:rsidRPr="00802535">
        <w:fldChar w:fldCharType="begin"/>
      </w:r>
      <w:r w:rsidR="00772216">
        <w:instrText xml:space="preserve">TOC \o "1-3" \h \u </w:instrText>
      </w:r>
      <w:r w:rsidRPr="00802535">
        <w:fldChar w:fldCharType="separate"/>
      </w:r>
      <w:hyperlink w:anchor="_Toc25792" w:history="1">
        <w:r w:rsidR="00772216">
          <w:rPr>
            <w:rFonts w:eastAsia="黑体" w:cs="Times New Roman"/>
            <w:szCs w:val="36"/>
          </w:rPr>
          <w:t xml:space="preserve">1 </w:t>
        </w:r>
        <w:r w:rsidR="00772216">
          <w:rPr>
            <w:rFonts w:hint="eastAsia"/>
          </w:rPr>
          <w:t>适用范围</w:t>
        </w:r>
        <w:r w:rsidR="00772216">
          <w:tab/>
        </w:r>
        <w:r>
          <w:fldChar w:fldCharType="begin"/>
        </w:r>
        <w:r w:rsidR="00772216">
          <w:instrText xml:space="preserve"> PAGEREF _Toc25792 \h </w:instrText>
        </w:r>
        <w:r>
          <w:fldChar w:fldCharType="separate"/>
        </w:r>
        <w:r w:rsidR="00772216">
          <w:t>1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9160" w:history="1">
        <w:r w:rsidR="00772216">
          <w:rPr>
            <w:rFonts w:eastAsia="黑体" w:cs="Times New Roman"/>
            <w:szCs w:val="36"/>
          </w:rPr>
          <w:t xml:space="preserve">2 </w:t>
        </w:r>
        <w:r w:rsidR="00772216">
          <w:rPr>
            <w:rFonts w:hint="eastAsia"/>
          </w:rPr>
          <w:t>引用规范与文件</w:t>
        </w:r>
        <w:r w:rsidR="00772216">
          <w:tab/>
        </w:r>
        <w:r>
          <w:fldChar w:fldCharType="begin"/>
        </w:r>
        <w:r w:rsidR="00772216">
          <w:instrText xml:space="preserve"> PAGEREF _Toc9160 \h </w:instrText>
        </w:r>
        <w:r>
          <w:fldChar w:fldCharType="separate"/>
        </w:r>
        <w:r w:rsidR="00772216">
          <w:t>2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3129" w:history="1">
        <w:r w:rsidR="00772216">
          <w:rPr>
            <w:rFonts w:eastAsia="黑体" w:cs="Times New Roman"/>
            <w:szCs w:val="36"/>
          </w:rPr>
          <w:t xml:space="preserve">3 </w:t>
        </w:r>
        <w:r w:rsidR="00772216">
          <w:rPr>
            <w:rFonts w:hint="eastAsia"/>
          </w:rPr>
          <w:t>互花米草的生物学特性</w:t>
        </w:r>
        <w:r w:rsidR="00772216">
          <w:tab/>
        </w:r>
        <w:r>
          <w:fldChar w:fldCharType="begin"/>
        </w:r>
        <w:r w:rsidR="00772216">
          <w:instrText xml:space="preserve"> PAGEREF _Toc3129 \h </w:instrText>
        </w:r>
        <w:r>
          <w:fldChar w:fldCharType="separate"/>
        </w:r>
        <w:r w:rsidR="00772216">
          <w:t>2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4604" w:history="1">
        <w:r w:rsidR="00772216">
          <w:rPr>
            <w:rFonts w:eastAsia="黑体" w:cs="Times New Roman"/>
            <w:szCs w:val="36"/>
          </w:rPr>
          <w:t xml:space="preserve">4 </w:t>
        </w:r>
        <w:r w:rsidR="00772216">
          <w:rPr>
            <w:rFonts w:hint="eastAsia"/>
          </w:rPr>
          <w:t>治理原则与流程</w:t>
        </w:r>
        <w:r w:rsidR="00772216">
          <w:tab/>
        </w:r>
        <w:r>
          <w:fldChar w:fldCharType="begin"/>
        </w:r>
        <w:r w:rsidR="00772216">
          <w:instrText xml:space="preserve"> PAGEREF _Toc4604 \h </w:instrText>
        </w:r>
        <w:r>
          <w:fldChar w:fldCharType="separate"/>
        </w:r>
        <w:r w:rsidR="00772216">
          <w:t>3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29789" w:history="1">
        <w:r w:rsidR="00772216">
          <w:rPr>
            <w:rFonts w:eastAsia="黑体" w:cs="Times New Roman"/>
            <w:bCs/>
            <w:szCs w:val="32"/>
          </w:rPr>
          <w:t xml:space="preserve">4.1 </w:t>
        </w:r>
        <w:r w:rsidR="00772216">
          <w:rPr>
            <w:rFonts w:hint="eastAsia"/>
          </w:rPr>
          <w:t>基本原则</w:t>
        </w:r>
        <w:r w:rsidR="00772216">
          <w:tab/>
        </w:r>
        <w:r>
          <w:fldChar w:fldCharType="begin"/>
        </w:r>
        <w:r w:rsidR="00772216">
          <w:instrText xml:space="preserve"> PAGEREF _Toc29789 \h </w:instrText>
        </w:r>
        <w:r>
          <w:fldChar w:fldCharType="separate"/>
        </w:r>
        <w:r w:rsidR="00772216">
          <w:t>3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8046" w:history="1">
        <w:r w:rsidR="00772216">
          <w:rPr>
            <w:rFonts w:eastAsia="黑体" w:cs="Times New Roman"/>
            <w:bCs/>
            <w:szCs w:val="32"/>
          </w:rPr>
          <w:t xml:space="preserve">4.2 </w:t>
        </w:r>
        <w:r w:rsidR="00772216">
          <w:rPr>
            <w:rFonts w:hint="eastAsia"/>
          </w:rPr>
          <w:t>治理流程</w:t>
        </w:r>
        <w:r w:rsidR="00772216">
          <w:tab/>
        </w:r>
        <w:r>
          <w:fldChar w:fldCharType="begin"/>
        </w:r>
        <w:r w:rsidR="00772216">
          <w:instrText xml:space="preserve"> PAGEREF _Toc8046 \h </w:instrText>
        </w:r>
        <w:r>
          <w:fldChar w:fldCharType="separate"/>
        </w:r>
        <w:r w:rsidR="00772216">
          <w:t>4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24593" w:history="1">
        <w:r w:rsidR="00772216">
          <w:rPr>
            <w:rFonts w:eastAsia="黑体" w:cs="Times New Roman"/>
            <w:szCs w:val="36"/>
          </w:rPr>
          <w:t xml:space="preserve">5 </w:t>
        </w:r>
        <w:r w:rsidR="00772216">
          <w:rPr>
            <w:rFonts w:hint="eastAsia"/>
          </w:rPr>
          <w:t>治理技术与作业要点</w:t>
        </w:r>
        <w:r w:rsidR="00772216">
          <w:tab/>
        </w:r>
        <w:r>
          <w:fldChar w:fldCharType="begin"/>
        </w:r>
        <w:r w:rsidR="00772216">
          <w:instrText xml:space="preserve"> PAGEREF _Toc24593 \h </w:instrText>
        </w:r>
        <w:r>
          <w:fldChar w:fldCharType="separate"/>
        </w:r>
        <w:r w:rsidR="00772216">
          <w:t>5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28501" w:history="1">
        <w:r w:rsidR="00772216">
          <w:rPr>
            <w:rFonts w:eastAsia="黑体" w:cs="Times New Roman"/>
            <w:bCs/>
            <w:szCs w:val="32"/>
          </w:rPr>
          <w:t xml:space="preserve">5.1 </w:t>
        </w:r>
        <w:r w:rsidR="00772216">
          <w:rPr>
            <w:rFonts w:hint="eastAsia"/>
          </w:rPr>
          <w:t>刈割</w:t>
        </w:r>
        <w:r w:rsidR="00772216">
          <w:rPr>
            <w:rFonts w:hint="eastAsia"/>
          </w:rPr>
          <w:t>+</w:t>
        </w:r>
        <w:r w:rsidR="00772216">
          <w:rPr>
            <w:rFonts w:hint="eastAsia"/>
          </w:rPr>
          <w:t>围淹</w:t>
        </w:r>
        <w:r w:rsidR="00772216">
          <w:tab/>
        </w:r>
        <w:r>
          <w:fldChar w:fldCharType="begin"/>
        </w:r>
        <w:r w:rsidR="00772216">
          <w:instrText xml:space="preserve"> PAGEREF _Toc28501 \h </w:instrText>
        </w:r>
        <w:r>
          <w:fldChar w:fldCharType="separate"/>
        </w:r>
        <w:r w:rsidR="00772216">
          <w:t>6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18928" w:history="1">
        <w:r w:rsidR="00772216">
          <w:rPr>
            <w:rFonts w:eastAsia="黑体" w:cs="Times New Roman"/>
            <w:bCs/>
            <w:szCs w:val="30"/>
          </w:rPr>
          <w:t xml:space="preserve">5.1.1 </w:t>
        </w:r>
        <w:r w:rsidR="00772216">
          <w:rPr>
            <w:rFonts w:hint="eastAsia"/>
          </w:rPr>
          <w:t>适用范围</w:t>
        </w:r>
        <w:r w:rsidR="00772216">
          <w:tab/>
        </w:r>
        <w:r>
          <w:fldChar w:fldCharType="begin"/>
        </w:r>
        <w:r w:rsidR="00772216">
          <w:instrText xml:space="preserve"> PAGEREF _Toc18928 \h </w:instrText>
        </w:r>
        <w:r>
          <w:fldChar w:fldCharType="separate"/>
        </w:r>
        <w:r w:rsidR="00772216">
          <w:t>6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27934" w:history="1">
        <w:r w:rsidR="00772216">
          <w:rPr>
            <w:rFonts w:eastAsia="黑体" w:cs="Times New Roman"/>
            <w:bCs/>
            <w:szCs w:val="30"/>
          </w:rPr>
          <w:t xml:space="preserve">5.1.2 </w:t>
        </w:r>
        <w:r w:rsidR="00772216">
          <w:rPr>
            <w:rFonts w:hint="eastAsia"/>
          </w:rPr>
          <w:t>作业方式</w:t>
        </w:r>
        <w:r w:rsidR="00772216">
          <w:tab/>
        </w:r>
        <w:r>
          <w:fldChar w:fldCharType="begin"/>
        </w:r>
        <w:r w:rsidR="00772216">
          <w:instrText xml:space="preserve"> PAGEREF _Toc27934 \h </w:instrText>
        </w:r>
        <w:r>
          <w:fldChar w:fldCharType="separate"/>
        </w:r>
        <w:r w:rsidR="00772216">
          <w:t>6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17922" w:history="1">
        <w:r w:rsidR="00772216">
          <w:rPr>
            <w:rFonts w:eastAsia="黑体" w:cs="Times New Roman"/>
            <w:bCs/>
            <w:szCs w:val="30"/>
          </w:rPr>
          <w:t xml:space="preserve">5.1.3 </w:t>
        </w:r>
        <w:r w:rsidR="00772216">
          <w:rPr>
            <w:rFonts w:hint="eastAsia"/>
          </w:rPr>
          <w:t>注意事项</w:t>
        </w:r>
        <w:r w:rsidR="00772216">
          <w:tab/>
        </w:r>
        <w:r>
          <w:fldChar w:fldCharType="begin"/>
        </w:r>
        <w:r w:rsidR="00772216">
          <w:instrText xml:space="preserve"> PAGEREF _Toc17922 \h </w:instrText>
        </w:r>
        <w:r>
          <w:fldChar w:fldCharType="separate"/>
        </w:r>
        <w:r w:rsidR="00772216">
          <w:t>7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8632" w:history="1">
        <w:r w:rsidR="00772216">
          <w:rPr>
            <w:rFonts w:eastAsia="黑体" w:cs="Times New Roman"/>
            <w:bCs/>
            <w:szCs w:val="32"/>
          </w:rPr>
          <w:t xml:space="preserve">5.2 </w:t>
        </w:r>
        <w:r w:rsidR="00772216">
          <w:rPr>
            <w:rFonts w:hint="eastAsia"/>
          </w:rPr>
          <w:t>刈割</w:t>
        </w:r>
        <w:r w:rsidR="00772216">
          <w:rPr>
            <w:rFonts w:hint="eastAsia"/>
          </w:rPr>
          <w:t>+</w:t>
        </w:r>
        <w:r w:rsidR="00772216">
          <w:rPr>
            <w:rFonts w:hint="eastAsia"/>
          </w:rPr>
          <w:t>翻耕深埋</w:t>
        </w:r>
        <w:r w:rsidR="00772216">
          <w:tab/>
        </w:r>
        <w:r>
          <w:fldChar w:fldCharType="begin"/>
        </w:r>
        <w:r w:rsidR="00772216">
          <w:instrText xml:space="preserve"> PAGEREF _Toc8632 \h </w:instrText>
        </w:r>
        <w:r>
          <w:fldChar w:fldCharType="separate"/>
        </w:r>
        <w:r w:rsidR="00772216">
          <w:t>7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4708" w:history="1">
        <w:r w:rsidR="00772216">
          <w:rPr>
            <w:rFonts w:eastAsia="黑体" w:cs="Times New Roman"/>
            <w:bCs/>
            <w:szCs w:val="30"/>
          </w:rPr>
          <w:t xml:space="preserve">5.2.1 </w:t>
        </w:r>
        <w:r w:rsidR="00772216">
          <w:rPr>
            <w:rFonts w:hint="eastAsia"/>
          </w:rPr>
          <w:t>适用范围</w:t>
        </w:r>
        <w:r w:rsidR="00772216">
          <w:tab/>
        </w:r>
        <w:r>
          <w:fldChar w:fldCharType="begin"/>
        </w:r>
        <w:r w:rsidR="00772216">
          <w:instrText xml:space="preserve"> PAGEREF _Toc4708 \h </w:instrText>
        </w:r>
        <w:r>
          <w:fldChar w:fldCharType="separate"/>
        </w:r>
        <w:r w:rsidR="00772216">
          <w:t>7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20520" w:history="1">
        <w:r w:rsidR="00772216">
          <w:rPr>
            <w:rFonts w:eastAsia="黑体" w:cs="Times New Roman"/>
            <w:bCs/>
            <w:szCs w:val="30"/>
          </w:rPr>
          <w:t xml:space="preserve">5.2.2 </w:t>
        </w:r>
        <w:r w:rsidR="00772216">
          <w:rPr>
            <w:rFonts w:hint="eastAsia"/>
          </w:rPr>
          <w:t>作业方式</w:t>
        </w:r>
        <w:r w:rsidR="00772216">
          <w:tab/>
        </w:r>
        <w:r>
          <w:fldChar w:fldCharType="begin"/>
        </w:r>
        <w:r w:rsidR="00772216">
          <w:instrText xml:space="preserve"> PAGEREF _Toc20520 \h </w:instrText>
        </w:r>
        <w:r>
          <w:fldChar w:fldCharType="separate"/>
        </w:r>
        <w:r w:rsidR="00772216">
          <w:t>7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22001" w:history="1">
        <w:r w:rsidR="00772216">
          <w:rPr>
            <w:rFonts w:eastAsia="黑体" w:cs="Times New Roman"/>
            <w:bCs/>
            <w:szCs w:val="30"/>
          </w:rPr>
          <w:t xml:space="preserve">5.2.3 </w:t>
        </w:r>
        <w:r w:rsidR="00772216">
          <w:rPr>
            <w:rFonts w:hint="eastAsia"/>
          </w:rPr>
          <w:t>注意事项</w:t>
        </w:r>
        <w:r w:rsidR="00772216">
          <w:tab/>
        </w:r>
        <w:r>
          <w:fldChar w:fldCharType="begin"/>
        </w:r>
        <w:r w:rsidR="00772216">
          <w:instrText xml:space="preserve"> PAGEREF _Toc22001 \h </w:instrText>
        </w:r>
        <w:r>
          <w:fldChar w:fldCharType="separate"/>
        </w:r>
        <w:r w:rsidR="00772216">
          <w:t>8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31749" w:history="1">
        <w:r w:rsidR="00772216">
          <w:rPr>
            <w:rFonts w:eastAsia="黑体" w:cs="Times New Roman"/>
            <w:bCs/>
            <w:szCs w:val="32"/>
          </w:rPr>
          <w:t xml:space="preserve">5.3 </w:t>
        </w:r>
        <w:r w:rsidR="00772216">
          <w:rPr>
            <w:rFonts w:hint="eastAsia"/>
          </w:rPr>
          <w:t>药剂治理</w:t>
        </w:r>
        <w:r w:rsidR="00772216">
          <w:tab/>
        </w:r>
        <w:r>
          <w:fldChar w:fldCharType="begin"/>
        </w:r>
        <w:r w:rsidR="00772216">
          <w:instrText xml:space="preserve"> PAGEREF _Toc31749 \h </w:instrText>
        </w:r>
        <w:r>
          <w:fldChar w:fldCharType="separate"/>
        </w:r>
        <w:r w:rsidR="00772216">
          <w:t>9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17770" w:history="1">
        <w:r w:rsidR="00772216">
          <w:rPr>
            <w:rFonts w:eastAsia="黑体" w:cs="Times New Roman"/>
            <w:bCs/>
            <w:szCs w:val="30"/>
          </w:rPr>
          <w:t xml:space="preserve">5.3.1 </w:t>
        </w:r>
        <w:r w:rsidR="00772216">
          <w:rPr>
            <w:rFonts w:hint="eastAsia"/>
          </w:rPr>
          <w:t>适用范围</w:t>
        </w:r>
        <w:r w:rsidR="00772216">
          <w:tab/>
        </w:r>
        <w:r>
          <w:fldChar w:fldCharType="begin"/>
        </w:r>
        <w:r w:rsidR="00772216">
          <w:instrText xml:space="preserve"> PAGEREF _Toc17770 \h </w:instrText>
        </w:r>
        <w:r>
          <w:fldChar w:fldCharType="separate"/>
        </w:r>
        <w:r w:rsidR="00772216">
          <w:t>9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20617" w:history="1">
        <w:r w:rsidR="00772216">
          <w:rPr>
            <w:rFonts w:eastAsia="黑体" w:cs="Times New Roman"/>
            <w:bCs/>
            <w:szCs w:val="30"/>
          </w:rPr>
          <w:t xml:space="preserve">5.3.2 </w:t>
        </w:r>
        <w:r w:rsidR="00772216">
          <w:rPr>
            <w:rFonts w:hint="eastAsia"/>
          </w:rPr>
          <w:t>作业方式</w:t>
        </w:r>
        <w:r w:rsidR="00772216">
          <w:tab/>
        </w:r>
        <w:r>
          <w:fldChar w:fldCharType="begin"/>
        </w:r>
        <w:r w:rsidR="00772216">
          <w:instrText xml:space="preserve"> PAGEREF _Toc20617 \h </w:instrText>
        </w:r>
        <w:r>
          <w:fldChar w:fldCharType="separate"/>
        </w:r>
        <w:r w:rsidR="00772216">
          <w:t>9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27315" w:history="1">
        <w:r w:rsidR="00772216">
          <w:rPr>
            <w:rFonts w:eastAsia="黑体" w:cs="Times New Roman"/>
            <w:bCs/>
            <w:szCs w:val="30"/>
          </w:rPr>
          <w:t xml:space="preserve">5.3.3 </w:t>
        </w:r>
        <w:r w:rsidR="00772216">
          <w:rPr>
            <w:rFonts w:hint="eastAsia"/>
          </w:rPr>
          <w:t>注意事项</w:t>
        </w:r>
        <w:r w:rsidR="00772216">
          <w:tab/>
        </w:r>
        <w:r>
          <w:fldChar w:fldCharType="begin"/>
        </w:r>
        <w:r w:rsidR="00772216">
          <w:instrText xml:space="preserve"> PAGEREF _Toc27315 \h </w:instrText>
        </w:r>
        <w:r>
          <w:fldChar w:fldCharType="separate"/>
        </w:r>
        <w:r w:rsidR="00772216">
          <w:t>10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21839" w:history="1">
        <w:r w:rsidR="00772216">
          <w:rPr>
            <w:rFonts w:eastAsia="黑体" w:cs="Times New Roman"/>
            <w:szCs w:val="36"/>
          </w:rPr>
          <w:t xml:space="preserve">6 </w:t>
        </w:r>
        <w:r w:rsidR="00772216">
          <w:rPr>
            <w:rFonts w:hint="eastAsia"/>
          </w:rPr>
          <w:t>监测与评估</w:t>
        </w:r>
        <w:r w:rsidR="00772216">
          <w:tab/>
        </w:r>
        <w:r>
          <w:fldChar w:fldCharType="begin"/>
        </w:r>
        <w:r w:rsidR="00772216">
          <w:instrText xml:space="preserve"> PAGEREF _Toc21839 \h </w:instrText>
        </w:r>
        <w:r>
          <w:fldChar w:fldCharType="separate"/>
        </w:r>
        <w:r w:rsidR="00772216">
          <w:t>11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26396" w:history="1">
        <w:r w:rsidR="00772216">
          <w:rPr>
            <w:rFonts w:eastAsia="黑体" w:cs="Times New Roman"/>
            <w:bCs/>
            <w:szCs w:val="32"/>
          </w:rPr>
          <w:t xml:space="preserve">6.1 </w:t>
        </w:r>
        <w:r w:rsidR="00772216">
          <w:rPr>
            <w:rFonts w:hint="eastAsia"/>
          </w:rPr>
          <w:t>监测内容及频率</w:t>
        </w:r>
        <w:r w:rsidR="00772216">
          <w:tab/>
        </w:r>
        <w:r>
          <w:fldChar w:fldCharType="begin"/>
        </w:r>
        <w:r w:rsidR="00772216">
          <w:instrText xml:space="preserve"> PAGEREF _Toc26396 \h </w:instrText>
        </w:r>
        <w:r>
          <w:fldChar w:fldCharType="separate"/>
        </w:r>
        <w:r w:rsidR="00772216">
          <w:t>11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1540" w:history="1">
        <w:r w:rsidR="00772216">
          <w:rPr>
            <w:rFonts w:eastAsia="黑体" w:cs="Times New Roman"/>
            <w:bCs/>
            <w:szCs w:val="30"/>
          </w:rPr>
          <w:t xml:space="preserve">6.1.1 </w:t>
        </w:r>
        <w:r w:rsidR="00772216">
          <w:rPr>
            <w:rFonts w:hint="eastAsia"/>
          </w:rPr>
          <w:t>工程实施单位</w:t>
        </w:r>
        <w:r w:rsidR="00772216">
          <w:tab/>
        </w:r>
        <w:r>
          <w:fldChar w:fldCharType="begin"/>
        </w:r>
        <w:r w:rsidR="00772216">
          <w:instrText xml:space="preserve"> PAGEREF _Toc1540 \h </w:instrText>
        </w:r>
        <w:r>
          <w:fldChar w:fldCharType="separate"/>
        </w:r>
        <w:r w:rsidR="00772216">
          <w:t>11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4304" w:history="1">
        <w:r w:rsidR="00772216">
          <w:rPr>
            <w:rFonts w:eastAsia="黑体" w:cs="Times New Roman"/>
            <w:bCs/>
            <w:szCs w:val="30"/>
          </w:rPr>
          <w:t xml:space="preserve">6.1.2 </w:t>
        </w:r>
        <w:r w:rsidR="00772216">
          <w:rPr>
            <w:rFonts w:hint="eastAsia"/>
          </w:rPr>
          <w:t>第三方监测</w:t>
        </w:r>
        <w:r w:rsidR="00772216">
          <w:tab/>
        </w:r>
        <w:r>
          <w:fldChar w:fldCharType="begin"/>
        </w:r>
        <w:r w:rsidR="00772216">
          <w:instrText xml:space="preserve"> PAGEREF _Toc4304 \h </w:instrText>
        </w:r>
        <w:r>
          <w:fldChar w:fldCharType="separate"/>
        </w:r>
        <w:r w:rsidR="00772216">
          <w:t>11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19598" w:history="1">
        <w:r w:rsidR="00772216">
          <w:rPr>
            <w:rFonts w:eastAsia="黑体" w:cs="Times New Roman"/>
            <w:bCs/>
            <w:szCs w:val="32"/>
          </w:rPr>
          <w:t xml:space="preserve">6.2 </w:t>
        </w:r>
        <w:r w:rsidR="00772216">
          <w:rPr>
            <w:rFonts w:hint="eastAsia"/>
          </w:rPr>
          <w:t>监测指标与方法</w:t>
        </w:r>
        <w:r w:rsidR="00772216">
          <w:tab/>
        </w:r>
        <w:r>
          <w:fldChar w:fldCharType="begin"/>
        </w:r>
        <w:r w:rsidR="00772216">
          <w:instrText xml:space="preserve"> PAGEREF _Toc19598 \h </w:instrText>
        </w:r>
        <w:r>
          <w:fldChar w:fldCharType="separate"/>
        </w:r>
        <w:r w:rsidR="00772216">
          <w:t>12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3296" w:history="1">
        <w:r w:rsidR="00772216">
          <w:rPr>
            <w:rFonts w:eastAsia="黑体" w:cs="Times New Roman"/>
            <w:bCs/>
            <w:szCs w:val="30"/>
          </w:rPr>
          <w:t xml:space="preserve">6.2.1 </w:t>
        </w:r>
        <w:r w:rsidR="00772216">
          <w:rPr>
            <w:rFonts w:hint="eastAsia"/>
          </w:rPr>
          <w:t>规定性指标</w:t>
        </w:r>
        <w:r w:rsidR="00772216">
          <w:tab/>
        </w:r>
        <w:r>
          <w:fldChar w:fldCharType="begin"/>
        </w:r>
        <w:r w:rsidR="00772216">
          <w:instrText xml:space="preserve"> PAGEREF _Toc3296 \h </w:instrText>
        </w:r>
        <w:r>
          <w:fldChar w:fldCharType="separate"/>
        </w:r>
        <w:r w:rsidR="00772216">
          <w:t>12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6517" w:history="1">
        <w:r w:rsidR="00772216">
          <w:rPr>
            <w:rFonts w:eastAsia="黑体" w:cs="Times New Roman"/>
            <w:bCs/>
            <w:szCs w:val="30"/>
          </w:rPr>
          <w:t xml:space="preserve">6.2.2 </w:t>
        </w:r>
        <w:r w:rsidR="00772216">
          <w:rPr>
            <w:rFonts w:hint="eastAsia"/>
          </w:rPr>
          <w:t>指导性指标</w:t>
        </w:r>
        <w:r w:rsidR="00772216">
          <w:tab/>
        </w:r>
        <w:r>
          <w:fldChar w:fldCharType="begin"/>
        </w:r>
        <w:r w:rsidR="00772216">
          <w:instrText xml:space="preserve"> PAGEREF _Toc6517 \h </w:instrText>
        </w:r>
        <w:r>
          <w:fldChar w:fldCharType="separate"/>
        </w:r>
        <w:r w:rsidR="00772216">
          <w:t>13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21127" w:history="1">
        <w:r w:rsidR="00772216">
          <w:rPr>
            <w:rFonts w:eastAsia="黑体" w:cs="Times New Roman"/>
            <w:bCs/>
            <w:szCs w:val="32"/>
          </w:rPr>
          <w:t xml:space="preserve">6.3 </w:t>
        </w:r>
        <w:r w:rsidR="00772216">
          <w:t>监测与评</w:t>
        </w:r>
        <w:r w:rsidR="00772216">
          <w:rPr>
            <w:rFonts w:hint="eastAsia"/>
          </w:rPr>
          <w:t>估</w:t>
        </w:r>
        <w:r w:rsidR="00772216">
          <w:t>报告</w:t>
        </w:r>
        <w:r w:rsidR="00772216">
          <w:tab/>
        </w:r>
        <w:r>
          <w:fldChar w:fldCharType="begin"/>
        </w:r>
        <w:r w:rsidR="00772216">
          <w:instrText xml:space="preserve"> PAGEREF _Toc21127 \h </w:instrText>
        </w:r>
        <w:r>
          <w:fldChar w:fldCharType="separate"/>
        </w:r>
        <w:r w:rsidR="00772216">
          <w:t>13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29844" w:history="1">
        <w:r w:rsidR="00772216">
          <w:rPr>
            <w:rFonts w:eastAsia="黑体" w:cs="Times New Roman"/>
            <w:szCs w:val="36"/>
          </w:rPr>
          <w:t xml:space="preserve">7 </w:t>
        </w:r>
        <w:r w:rsidR="00772216">
          <w:rPr>
            <w:rFonts w:hint="eastAsia"/>
          </w:rPr>
          <w:t>长效维护与管理</w:t>
        </w:r>
        <w:r w:rsidR="00772216">
          <w:tab/>
        </w:r>
        <w:r>
          <w:fldChar w:fldCharType="begin"/>
        </w:r>
        <w:r w:rsidR="00772216">
          <w:instrText xml:space="preserve"> PAGEREF _Toc29844 \h </w:instrText>
        </w:r>
        <w:r>
          <w:fldChar w:fldCharType="separate"/>
        </w:r>
        <w:r w:rsidR="00772216">
          <w:t>14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10640" w:history="1">
        <w:r w:rsidR="00772216">
          <w:rPr>
            <w:rFonts w:eastAsia="黑体" w:cs="Times New Roman"/>
            <w:bCs/>
            <w:szCs w:val="32"/>
          </w:rPr>
          <w:t xml:space="preserve">7.1 </w:t>
        </w:r>
        <w:r w:rsidR="00772216">
          <w:rPr>
            <w:rFonts w:hint="eastAsia"/>
          </w:rPr>
          <w:t>巡查预警</w:t>
        </w:r>
        <w:r w:rsidR="00772216">
          <w:tab/>
        </w:r>
        <w:r>
          <w:fldChar w:fldCharType="begin"/>
        </w:r>
        <w:r w:rsidR="00772216">
          <w:instrText xml:space="preserve"> PAGEREF _Toc10640 \h </w:instrText>
        </w:r>
        <w:r>
          <w:fldChar w:fldCharType="separate"/>
        </w:r>
        <w:r w:rsidR="00772216">
          <w:t>14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28769" w:history="1">
        <w:r w:rsidR="00772216">
          <w:rPr>
            <w:rFonts w:eastAsia="黑体" w:cs="Times New Roman"/>
            <w:bCs/>
            <w:szCs w:val="30"/>
          </w:rPr>
          <w:t xml:space="preserve">7.1.1 </w:t>
        </w:r>
        <w:r w:rsidR="00772216">
          <w:rPr>
            <w:rFonts w:hint="eastAsia"/>
          </w:rPr>
          <w:t>建立常态化巡查预警机制</w:t>
        </w:r>
        <w:r w:rsidR="00772216">
          <w:tab/>
        </w:r>
        <w:r>
          <w:fldChar w:fldCharType="begin"/>
        </w:r>
        <w:r w:rsidR="00772216">
          <w:instrText xml:space="preserve"> PAGEREF _Toc28769 \h </w:instrText>
        </w:r>
        <w:r>
          <w:fldChar w:fldCharType="separate"/>
        </w:r>
        <w:r w:rsidR="00772216">
          <w:t>14</w:t>
        </w:r>
        <w:r>
          <w:fldChar w:fldCharType="end"/>
        </w:r>
      </w:hyperlink>
    </w:p>
    <w:p w:rsidR="00F44A2D" w:rsidRDefault="00802535" w:rsidP="00DD48E6">
      <w:pPr>
        <w:pStyle w:val="30"/>
        <w:tabs>
          <w:tab w:val="right" w:leader="dot" w:pos="8306"/>
        </w:tabs>
        <w:ind w:left="1120" w:firstLine="480"/>
      </w:pPr>
      <w:hyperlink w:anchor="_Toc1298" w:history="1">
        <w:r w:rsidR="00772216">
          <w:rPr>
            <w:rFonts w:eastAsia="黑体" w:cs="Times New Roman"/>
            <w:bCs/>
            <w:szCs w:val="30"/>
          </w:rPr>
          <w:t xml:space="preserve">7.1.2 </w:t>
        </w:r>
        <w:r w:rsidR="00772216">
          <w:rPr>
            <w:rFonts w:hint="eastAsia"/>
          </w:rPr>
          <w:t>开展日常巡查</w:t>
        </w:r>
        <w:r w:rsidR="00772216">
          <w:tab/>
        </w:r>
        <w:r>
          <w:fldChar w:fldCharType="begin"/>
        </w:r>
        <w:r w:rsidR="00772216">
          <w:instrText xml:space="preserve"> PAGEREF _Toc1298 \h </w:instrText>
        </w:r>
        <w:r>
          <w:fldChar w:fldCharType="separate"/>
        </w:r>
        <w:r w:rsidR="00772216">
          <w:t>14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31811" w:history="1">
        <w:r w:rsidR="00772216">
          <w:rPr>
            <w:rFonts w:eastAsia="黑体" w:cs="Times New Roman"/>
            <w:bCs/>
            <w:szCs w:val="32"/>
          </w:rPr>
          <w:t xml:space="preserve">7.2 </w:t>
        </w:r>
        <w:r w:rsidR="00772216">
          <w:rPr>
            <w:rFonts w:hint="eastAsia"/>
          </w:rPr>
          <w:t>后期维护管理</w:t>
        </w:r>
        <w:r w:rsidR="00772216">
          <w:tab/>
        </w:r>
        <w:r>
          <w:fldChar w:fldCharType="begin"/>
        </w:r>
        <w:r w:rsidR="00772216">
          <w:instrText xml:space="preserve"> PAGEREF _Toc31811 \h </w:instrText>
        </w:r>
        <w:r>
          <w:fldChar w:fldCharType="separate"/>
        </w:r>
        <w:r w:rsidR="00772216">
          <w:t>15</w:t>
        </w:r>
        <w:r>
          <w:fldChar w:fldCharType="end"/>
        </w:r>
      </w:hyperlink>
    </w:p>
    <w:p w:rsidR="00F44A2D" w:rsidRDefault="00802535" w:rsidP="00DD48E6">
      <w:pPr>
        <w:pStyle w:val="10"/>
        <w:tabs>
          <w:tab w:val="right" w:leader="dot" w:pos="8306"/>
        </w:tabs>
        <w:ind w:firstLine="562"/>
      </w:pPr>
      <w:hyperlink w:anchor="_Toc25816" w:history="1">
        <w:r w:rsidR="00772216">
          <w:rPr>
            <w:rFonts w:eastAsia="黑体" w:cs="Times New Roman"/>
            <w:szCs w:val="36"/>
          </w:rPr>
          <w:t xml:space="preserve">8 </w:t>
        </w:r>
        <w:r w:rsidR="00772216">
          <w:rPr>
            <w:rFonts w:hint="eastAsia"/>
          </w:rPr>
          <w:t>附表</w:t>
        </w:r>
        <w:r w:rsidR="00772216">
          <w:tab/>
        </w:r>
        <w:r>
          <w:fldChar w:fldCharType="begin"/>
        </w:r>
        <w:r w:rsidR="00772216">
          <w:instrText xml:space="preserve"> PAGEREF _Toc25816 \h </w:instrText>
        </w:r>
        <w:r>
          <w:fldChar w:fldCharType="separate"/>
        </w:r>
        <w:r w:rsidR="00772216">
          <w:t>16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14033" w:history="1">
        <w:r w:rsidR="00772216">
          <w:rPr>
            <w:rFonts w:hint="eastAsia"/>
          </w:rPr>
          <w:t>附表</w:t>
        </w:r>
        <w:r w:rsidR="00772216">
          <w:rPr>
            <w:rFonts w:hint="eastAsia"/>
          </w:rPr>
          <w:t>1</w:t>
        </w:r>
        <w:r w:rsidR="00772216">
          <w:t xml:space="preserve"> </w:t>
        </w:r>
        <w:r w:rsidR="00772216">
          <w:rPr>
            <w:rFonts w:hint="eastAsia"/>
          </w:rPr>
          <w:t>互花米草治理技术与作业要点汇总表</w:t>
        </w:r>
        <w:r w:rsidR="00772216">
          <w:tab/>
        </w:r>
        <w:r>
          <w:fldChar w:fldCharType="begin"/>
        </w:r>
        <w:r w:rsidR="00772216">
          <w:instrText xml:space="preserve"> PAGEREF _Toc14033 \h </w:instrText>
        </w:r>
        <w:r>
          <w:fldChar w:fldCharType="separate"/>
        </w:r>
        <w:r w:rsidR="00772216">
          <w:t>16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31531" w:history="1">
        <w:r w:rsidR="00772216">
          <w:rPr>
            <w:rFonts w:hint="eastAsia"/>
          </w:rPr>
          <w:t>附表</w:t>
        </w:r>
        <w:r w:rsidR="00772216">
          <w:rPr>
            <w:rFonts w:hint="eastAsia"/>
          </w:rPr>
          <w:t>2</w:t>
        </w:r>
        <w:r w:rsidR="00772216">
          <w:t xml:space="preserve"> </w:t>
        </w:r>
        <w:r w:rsidR="00772216">
          <w:rPr>
            <w:rFonts w:hint="eastAsia"/>
          </w:rPr>
          <w:t>现场检查一览表</w:t>
        </w:r>
        <w:r w:rsidR="00772216">
          <w:tab/>
        </w:r>
        <w:r>
          <w:fldChar w:fldCharType="begin"/>
        </w:r>
        <w:r w:rsidR="00772216">
          <w:instrText xml:space="preserve"> PAGEREF _Toc31531 \h </w:instrText>
        </w:r>
        <w:r>
          <w:fldChar w:fldCharType="separate"/>
        </w:r>
        <w:r w:rsidR="00772216">
          <w:t>19</w:t>
        </w:r>
        <w:r>
          <w:fldChar w:fldCharType="end"/>
        </w:r>
      </w:hyperlink>
    </w:p>
    <w:p w:rsidR="00F44A2D" w:rsidRDefault="00802535" w:rsidP="00DD48E6">
      <w:pPr>
        <w:pStyle w:val="20"/>
        <w:tabs>
          <w:tab w:val="right" w:leader="dot" w:pos="8306"/>
        </w:tabs>
        <w:ind w:left="560" w:firstLine="480"/>
      </w:pPr>
      <w:hyperlink w:anchor="_Toc9980" w:history="1">
        <w:r w:rsidR="00772216">
          <w:rPr>
            <w:rFonts w:hint="eastAsia"/>
          </w:rPr>
          <w:t>附表</w:t>
        </w:r>
        <w:r w:rsidR="00772216">
          <w:rPr>
            <w:rFonts w:hint="eastAsia"/>
          </w:rPr>
          <w:t>3</w:t>
        </w:r>
        <w:r w:rsidR="00772216">
          <w:t xml:space="preserve"> </w:t>
        </w:r>
        <w:r w:rsidR="00772216">
          <w:rPr>
            <w:rFonts w:hint="eastAsia"/>
          </w:rPr>
          <w:t>互花米草除治情况统计表</w:t>
        </w:r>
        <w:r w:rsidR="00772216">
          <w:tab/>
        </w:r>
        <w:r>
          <w:fldChar w:fldCharType="begin"/>
        </w:r>
        <w:r w:rsidR="00772216">
          <w:instrText xml:space="preserve"> PAGEREF _Toc9980 \h </w:instrText>
        </w:r>
        <w:r>
          <w:fldChar w:fldCharType="separate"/>
        </w:r>
        <w:r w:rsidR="00772216">
          <w:t>20</w:t>
        </w:r>
        <w:r>
          <w:fldChar w:fldCharType="end"/>
        </w:r>
      </w:hyperlink>
    </w:p>
    <w:p w:rsidR="00F44A2D" w:rsidRDefault="00802535">
      <w:pPr>
        <w:ind w:firstLine="560"/>
      </w:pPr>
      <w:r>
        <w:fldChar w:fldCharType="end"/>
      </w:r>
    </w:p>
    <w:p w:rsidR="00F44A2D" w:rsidRDefault="00F44A2D">
      <w:pPr>
        <w:ind w:firstLine="560"/>
        <w:sectPr w:rsidR="00F44A2D">
          <w:footerReference w:type="defaul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bookmarkStart w:id="0" w:name="_GoBack"/>
      <w:bookmarkEnd w:id="0"/>
    </w:p>
    <w:p w:rsidR="00F44A2D" w:rsidRDefault="00772216">
      <w:pPr>
        <w:pStyle w:val="1"/>
      </w:pPr>
      <w:bookmarkStart w:id="1" w:name="_Toc29387"/>
      <w:bookmarkStart w:id="2" w:name="_Toc140565494"/>
      <w:bookmarkStart w:id="3" w:name="_Toc20553"/>
      <w:bookmarkStart w:id="4" w:name="_Toc3796"/>
      <w:bookmarkStart w:id="5" w:name="_Toc19182"/>
      <w:bookmarkStart w:id="6" w:name="_Toc25792"/>
      <w:r>
        <w:rPr>
          <w:rFonts w:hint="eastAsia"/>
        </w:rPr>
        <w:lastRenderedPageBreak/>
        <w:t>适用范围</w:t>
      </w:r>
      <w:bookmarkEnd w:id="1"/>
      <w:bookmarkEnd w:id="2"/>
      <w:bookmarkEnd w:id="3"/>
      <w:bookmarkEnd w:id="4"/>
      <w:bookmarkEnd w:id="5"/>
      <w:bookmarkEnd w:id="6"/>
    </w:p>
    <w:p w:rsidR="00F44A2D" w:rsidRDefault="00772216">
      <w:pPr>
        <w:ind w:firstLine="560"/>
      </w:pPr>
      <w:r>
        <w:rPr>
          <w:rFonts w:hint="eastAsia"/>
        </w:rPr>
        <w:t>根据《上海市互花米草防治专项行动实施方案（</w:t>
      </w:r>
      <w:r>
        <w:rPr>
          <w:rFonts w:hint="eastAsia"/>
        </w:rPr>
        <w:t>2023~2025</w:t>
      </w:r>
      <w:r>
        <w:rPr>
          <w:rFonts w:hint="eastAsia"/>
        </w:rPr>
        <w:t>年）》，本市约有互花米草</w:t>
      </w:r>
      <w:r>
        <w:t>（</w:t>
      </w:r>
      <w:proofErr w:type="spellStart"/>
      <w:r>
        <w:rPr>
          <w:i/>
          <w:iCs/>
        </w:rPr>
        <w:t>Spartina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alterniflora</w:t>
      </w:r>
      <w:proofErr w:type="spellEnd"/>
      <w:r>
        <w:t>）</w:t>
      </w:r>
      <w:r>
        <w:rPr>
          <w:rFonts w:hint="eastAsia"/>
        </w:rPr>
        <w:t>1.5</w:t>
      </w:r>
      <w:r>
        <w:rPr>
          <w:rFonts w:hint="eastAsia"/>
        </w:rPr>
        <w:t>万公顷，主要分布在浦东新区和崇明区，零星分布在奉贤区、金山区和宝山区。结合各区互花米草分布特点，本手册介绍了互花米草的生物学特性、治理原则与流程、治理技术与作业要点、监测与评估、长效维护与管理等，适用于</w:t>
      </w:r>
      <w:proofErr w:type="gramStart"/>
      <w:r>
        <w:rPr>
          <w:rFonts w:hint="eastAsia"/>
        </w:rPr>
        <w:t>崇明北</w:t>
      </w:r>
      <w:proofErr w:type="gramEnd"/>
      <w:r>
        <w:rPr>
          <w:rFonts w:hint="eastAsia"/>
        </w:rPr>
        <w:t>沿、九段沙和</w:t>
      </w:r>
      <w:proofErr w:type="gramStart"/>
      <w:r>
        <w:rPr>
          <w:rFonts w:hint="eastAsia"/>
        </w:rPr>
        <w:t>南汇东</w:t>
      </w:r>
      <w:proofErr w:type="gramEnd"/>
      <w:r>
        <w:rPr>
          <w:rFonts w:hint="eastAsia"/>
        </w:rPr>
        <w:t>滩三个重点区域以及崇明北湖、横沙新洲、奉贤边滩、</w:t>
      </w:r>
      <w:proofErr w:type="gramStart"/>
      <w:r>
        <w:rPr>
          <w:rFonts w:hint="eastAsia"/>
        </w:rPr>
        <w:t>金山边滩</w:t>
      </w:r>
      <w:proofErr w:type="gramEnd"/>
      <w:r>
        <w:rPr>
          <w:rFonts w:hint="eastAsia"/>
        </w:rPr>
        <w:t>等零星分布区的互花米草治理，各区可因地制宜参照本手册选择合适的治理技术。</w:t>
      </w:r>
    </w:p>
    <w:p w:rsidR="00F44A2D" w:rsidRDefault="00772216">
      <w:pPr>
        <w:pStyle w:val="ae"/>
      </w:pPr>
      <w:r>
        <w:rPr>
          <w:noProof/>
        </w:rPr>
        <w:drawing>
          <wp:inline distT="0" distB="0" distL="114300" distR="114300">
            <wp:extent cx="5039995" cy="4925060"/>
            <wp:effectExtent l="0" t="0" r="444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D" w:rsidRDefault="00772216">
      <w:pPr>
        <w:pStyle w:val="af5"/>
        <w:spacing w:after="156"/>
        <w:rPr>
          <w:rFonts w:hint="default"/>
        </w:rPr>
      </w:pPr>
      <w:r>
        <w:t>图</w:t>
      </w:r>
      <w:r>
        <w:t xml:space="preserve">1 </w:t>
      </w:r>
      <w:r>
        <w:t>上海市互花米草主要分布图</w:t>
      </w:r>
    </w:p>
    <w:p w:rsidR="00F44A2D" w:rsidRDefault="00772216">
      <w:pPr>
        <w:pStyle w:val="1"/>
      </w:pPr>
      <w:bookmarkStart w:id="7" w:name="_Toc22095"/>
      <w:bookmarkStart w:id="8" w:name="_Toc6083"/>
      <w:bookmarkStart w:id="9" w:name="_Toc32651"/>
      <w:bookmarkStart w:id="10" w:name="_Toc23604"/>
      <w:bookmarkStart w:id="11" w:name="_Toc140565495"/>
      <w:bookmarkStart w:id="12" w:name="_Toc9160"/>
      <w:r>
        <w:rPr>
          <w:rFonts w:hint="eastAsia"/>
        </w:rPr>
        <w:lastRenderedPageBreak/>
        <w:t>引用规范与文件</w:t>
      </w:r>
      <w:bookmarkEnd w:id="7"/>
      <w:bookmarkEnd w:id="8"/>
      <w:bookmarkEnd w:id="9"/>
      <w:bookmarkEnd w:id="10"/>
      <w:bookmarkEnd w:id="11"/>
      <w:bookmarkEnd w:id="12"/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GB/T 12763 </w:t>
      </w:r>
      <w:r>
        <w:rPr>
          <w:rFonts w:hint="eastAsia"/>
        </w:rPr>
        <w:t>海洋调查规范；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GB/T 42639 </w:t>
      </w:r>
      <w:r>
        <w:rPr>
          <w:rFonts w:hint="eastAsia"/>
        </w:rPr>
        <w:t>潮间带调查规范；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GB 50286 </w:t>
      </w:r>
      <w:r>
        <w:rPr>
          <w:rFonts w:hint="eastAsia"/>
        </w:rPr>
        <w:t>堤防工程设计规范；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GB 50288 </w:t>
      </w:r>
      <w:r>
        <w:rPr>
          <w:rFonts w:hint="eastAsia"/>
        </w:rPr>
        <w:t>灌溉与排水工程设计标准；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DB 31/T 1243 </w:t>
      </w:r>
      <w:r>
        <w:rPr>
          <w:rFonts w:hint="eastAsia"/>
        </w:rPr>
        <w:t>互花米草生态控制技术规范；</w:t>
      </w:r>
    </w:p>
    <w:p w:rsidR="00F44A2D" w:rsidRDefault="00772216">
      <w:pPr>
        <w:numPr>
          <w:ilvl w:val="255"/>
          <w:numId w:val="0"/>
        </w:numPr>
        <w:ind w:firstLine="560"/>
      </w:pPr>
      <w:bookmarkStart w:id="13" w:name="_Hlk145576750"/>
      <w:r>
        <w:rPr>
          <w:rFonts w:hint="eastAsia"/>
        </w:rPr>
        <w:t xml:space="preserve">HJ 710.1-2014 </w:t>
      </w:r>
      <w:hyperlink r:id="rId16" w:history="1">
        <w:r>
          <w:rPr>
            <w:rFonts w:hint="eastAsia"/>
          </w:rPr>
          <w:t>生物多样性观测技术导则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陆生维管植物</w:t>
        </w:r>
      </w:hyperlink>
      <w:r>
        <w:rPr>
          <w:rFonts w:hint="eastAsia"/>
        </w:rPr>
        <w:t>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>HJ 710.12</w:t>
      </w:r>
      <w:r>
        <w:rPr>
          <w:rFonts w:hint="eastAsia"/>
        </w:rPr>
        <w:t>—</w:t>
      </w:r>
      <w:r>
        <w:rPr>
          <w:rFonts w:hint="eastAsia"/>
        </w:rPr>
        <w:t xml:space="preserve">2016 </w:t>
      </w:r>
      <w:hyperlink r:id="rId17" w:history="1">
        <w:r>
          <w:rPr>
            <w:rFonts w:hint="eastAsia"/>
          </w:rPr>
          <w:t>生物多样性观测技术导则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水生维管植物</w:t>
        </w:r>
      </w:hyperlink>
      <w:r>
        <w:rPr>
          <w:rFonts w:hint="eastAsia"/>
        </w:rPr>
        <w:t>；</w:t>
      </w:r>
    </w:p>
    <w:bookmarkEnd w:id="13"/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HY/T 080 </w:t>
      </w:r>
      <w:r>
        <w:rPr>
          <w:rFonts w:hint="eastAsia"/>
        </w:rPr>
        <w:t>滨海湿地生态监测技术规程；</w:t>
      </w:r>
    </w:p>
    <w:p w:rsidR="00F44A2D" w:rsidRDefault="00802535">
      <w:pPr>
        <w:numPr>
          <w:ilvl w:val="255"/>
          <w:numId w:val="0"/>
        </w:numPr>
        <w:ind w:firstLine="560"/>
      </w:pPr>
      <w:hyperlink r:id="rId18" w:tgtFrame="https://www.baidu.com/_blank" w:history="1">
        <w:r w:rsidR="00772216">
          <w:rPr>
            <w:rFonts w:hint="eastAsia"/>
          </w:rPr>
          <w:t>HJ 710.4</w:t>
        </w:r>
      </w:hyperlink>
      <w:r w:rsidR="00772216">
        <w:rPr>
          <w:rFonts w:hint="eastAsia"/>
        </w:rPr>
        <w:t xml:space="preserve"> </w:t>
      </w:r>
      <w:r w:rsidR="00772216">
        <w:rPr>
          <w:rFonts w:hint="eastAsia"/>
        </w:rPr>
        <w:t>生物多样性观测技术导则</w:t>
      </w:r>
      <w:r w:rsidR="00772216">
        <w:rPr>
          <w:rFonts w:hint="eastAsia"/>
        </w:rPr>
        <w:t xml:space="preserve"> </w:t>
      </w:r>
      <w:r w:rsidR="00772216">
        <w:rPr>
          <w:rFonts w:hint="eastAsia"/>
        </w:rPr>
        <w:t>鸟类；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NY/T 1276 </w:t>
      </w:r>
      <w:r>
        <w:rPr>
          <w:rFonts w:hint="eastAsia"/>
        </w:rPr>
        <w:t>农药安全使用规范</w:t>
      </w:r>
      <w:r>
        <w:rPr>
          <w:rFonts w:hint="eastAsia"/>
        </w:rPr>
        <w:t xml:space="preserve"> </w:t>
      </w:r>
      <w:r>
        <w:rPr>
          <w:rFonts w:hint="eastAsia"/>
        </w:rPr>
        <w:t>总则；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NY/T 1997 </w:t>
      </w:r>
      <w:r>
        <w:rPr>
          <w:rFonts w:hint="eastAsia"/>
        </w:rPr>
        <w:t>除草剂安全使用技术规范</w:t>
      </w:r>
      <w:r>
        <w:rPr>
          <w:rFonts w:hint="eastAsia"/>
        </w:rPr>
        <w:t xml:space="preserve"> </w:t>
      </w:r>
      <w:r>
        <w:rPr>
          <w:rFonts w:hint="eastAsia"/>
        </w:rPr>
        <w:t>通则；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 xml:space="preserve">T/CAOE 21 </w:t>
      </w:r>
      <w:r>
        <w:rPr>
          <w:rFonts w:hint="eastAsia"/>
        </w:rPr>
        <w:t>海岸带生态减灾修复技术导则；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>《海洋生态修复技术指南（试行）》（自然资源部</w:t>
      </w:r>
      <w:r>
        <w:rPr>
          <w:rFonts w:hint="eastAsia"/>
        </w:rPr>
        <w:t xml:space="preserve"> </w:t>
      </w:r>
      <w:r>
        <w:rPr>
          <w:rFonts w:hint="eastAsia"/>
        </w:rPr>
        <w:t>自然资办函〔</w:t>
      </w:r>
      <w:r>
        <w:rPr>
          <w:rFonts w:hint="eastAsia"/>
        </w:rPr>
        <w:t>2021</w:t>
      </w:r>
      <w:r>
        <w:rPr>
          <w:rFonts w:hint="eastAsia"/>
        </w:rPr>
        <w:t>〕</w:t>
      </w:r>
      <w:r>
        <w:rPr>
          <w:rFonts w:hint="eastAsia"/>
        </w:rPr>
        <w:t>1214</w:t>
      </w:r>
      <w:r>
        <w:rPr>
          <w:rFonts w:hint="eastAsia"/>
        </w:rPr>
        <w:t>号）；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>《互花米草调查技术规程》（国家林业和草原局、自然资源部、农业农村部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办湿字</w:t>
      </w:r>
      <w:proofErr w:type="gramEnd"/>
      <w:r>
        <w:rPr>
          <w:rFonts w:hint="eastAsia"/>
        </w:rPr>
        <w:t>〔</w:t>
      </w:r>
      <w:r>
        <w:rPr>
          <w:rFonts w:hint="eastAsia"/>
        </w:rPr>
        <w:t>2023</w:t>
      </w:r>
      <w:r>
        <w:rPr>
          <w:rFonts w:hint="eastAsia"/>
        </w:rPr>
        <w:t>〕</w:t>
      </w:r>
      <w:r>
        <w:rPr>
          <w:rFonts w:hint="eastAsia"/>
        </w:rPr>
        <w:t>1</w:t>
      </w:r>
      <w:r>
        <w:t>7</w:t>
      </w:r>
      <w:r>
        <w:rPr>
          <w:rFonts w:hint="eastAsia"/>
        </w:rPr>
        <w:t>号）；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>《互花米草防治专项行动计划（</w:t>
      </w:r>
      <w:r>
        <w:rPr>
          <w:rFonts w:hint="eastAsia"/>
        </w:rPr>
        <w:t>2022~2025</w:t>
      </w:r>
      <w:r>
        <w:rPr>
          <w:rFonts w:hint="eastAsia"/>
        </w:rPr>
        <w:t>年）》（国家林业和草原局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林湿发</w:t>
      </w:r>
      <w:proofErr w:type="gramEnd"/>
      <w:r>
        <w:rPr>
          <w:rFonts w:hint="eastAsia"/>
        </w:rPr>
        <w:t>〔</w:t>
      </w:r>
      <w:r>
        <w:rPr>
          <w:rFonts w:hint="eastAsia"/>
        </w:rPr>
        <w:t>2022</w:t>
      </w:r>
      <w:r>
        <w:rPr>
          <w:rFonts w:hint="eastAsia"/>
        </w:rPr>
        <w:t>〕</w:t>
      </w:r>
      <w:r>
        <w:rPr>
          <w:rFonts w:hint="eastAsia"/>
        </w:rPr>
        <w:t>124</w:t>
      </w:r>
      <w:r>
        <w:rPr>
          <w:rFonts w:hint="eastAsia"/>
        </w:rPr>
        <w:t>号）；</w:t>
      </w:r>
    </w:p>
    <w:p w:rsidR="00F44A2D" w:rsidRDefault="00772216">
      <w:pPr>
        <w:numPr>
          <w:ilvl w:val="255"/>
          <w:numId w:val="0"/>
        </w:numPr>
        <w:ind w:firstLine="560"/>
      </w:pPr>
      <w:r>
        <w:rPr>
          <w:rFonts w:hint="eastAsia"/>
        </w:rPr>
        <w:t>《</w:t>
      </w:r>
      <w:r>
        <w:t>上海市互花米草防治专项行动实施方案（</w:t>
      </w:r>
      <w:r>
        <w:rPr>
          <w:rFonts w:hint="eastAsia"/>
        </w:rPr>
        <w:t>2023~2025</w:t>
      </w:r>
      <w:r>
        <w:rPr>
          <w:rFonts w:hint="eastAsia"/>
        </w:rPr>
        <w:t>年</w:t>
      </w:r>
      <w:r>
        <w:t>）</w:t>
      </w:r>
      <w:r>
        <w:rPr>
          <w:rFonts w:hint="eastAsia"/>
        </w:rPr>
        <w:t>》（沪府办〔</w:t>
      </w:r>
      <w:r>
        <w:rPr>
          <w:rFonts w:hint="eastAsia"/>
        </w:rPr>
        <w:t>2023</w:t>
      </w:r>
      <w:r>
        <w:rPr>
          <w:rFonts w:hint="eastAsia"/>
        </w:rPr>
        <w:t>〕</w:t>
      </w:r>
      <w:r>
        <w:rPr>
          <w:rFonts w:hint="eastAsia"/>
        </w:rPr>
        <w:t>16</w:t>
      </w:r>
      <w:r>
        <w:rPr>
          <w:rFonts w:hint="eastAsia"/>
        </w:rPr>
        <w:t>号）</w:t>
      </w:r>
      <w:r>
        <w:t>。</w:t>
      </w:r>
    </w:p>
    <w:p w:rsidR="00F44A2D" w:rsidRDefault="00772216">
      <w:pPr>
        <w:pStyle w:val="1"/>
      </w:pPr>
      <w:bookmarkStart w:id="14" w:name="_Toc31189"/>
      <w:bookmarkStart w:id="15" w:name="_Toc9425"/>
      <w:bookmarkStart w:id="16" w:name="_Toc140565496"/>
      <w:bookmarkStart w:id="17" w:name="_Toc23950"/>
      <w:bookmarkStart w:id="18" w:name="_Toc24097"/>
      <w:bookmarkStart w:id="19" w:name="_Toc3129"/>
      <w:r>
        <w:rPr>
          <w:rFonts w:hint="eastAsia"/>
        </w:rPr>
        <w:t>互花米草的生物学特性</w:t>
      </w:r>
      <w:bookmarkEnd w:id="14"/>
      <w:bookmarkEnd w:id="15"/>
      <w:bookmarkEnd w:id="16"/>
      <w:bookmarkEnd w:id="17"/>
      <w:bookmarkEnd w:id="18"/>
      <w:bookmarkEnd w:id="19"/>
    </w:p>
    <w:p w:rsidR="00F44A2D" w:rsidRDefault="00772216">
      <w:pPr>
        <w:ind w:firstLine="560"/>
      </w:pPr>
      <w:r>
        <w:t>互花米草（</w:t>
      </w:r>
      <w:proofErr w:type="spellStart"/>
      <w:r>
        <w:rPr>
          <w:i/>
          <w:iCs/>
        </w:rPr>
        <w:t>Spartina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alterniflora</w:t>
      </w:r>
      <w:proofErr w:type="spellEnd"/>
      <w:r>
        <w:t>）</w:t>
      </w:r>
      <w:r>
        <w:rPr>
          <w:rFonts w:hint="eastAsia"/>
        </w:rPr>
        <w:t>隶属</w:t>
      </w:r>
      <w:r>
        <w:t>禾本科米草属</w:t>
      </w:r>
      <w:r>
        <w:rPr>
          <w:rFonts w:hint="eastAsia"/>
        </w:rPr>
        <w:t>，为</w:t>
      </w:r>
      <w:r>
        <w:t>多年生</w:t>
      </w:r>
      <w:r>
        <w:rPr>
          <w:rFonts w:hint="eastAsia"/>
        </w:rPr>
        <w:t>高大</w:t>
      </w:r>
      <w:r>
        <w:t>草本植物。</w:t>
      </w:r>
      <w:r>
        <w:rPr>
          <w:rFonts w:hint="eastAsia"/>
        </w:rPr>
        <w:t>地下部分通常由短而细的须根和长而粗的地下茎（根状茎）组成。</w:t>
      </w:r>
      <w:r>
        <w:t>根系</w:t>
      </w:r>
      <w:r>
        <w:rPr>
          <w:rFonts w:hint="eastAsia"/>
        </w:rPr>
        <w:t>较为</w:t>
      </w:r>
      <w:r>
        <w:t>发达，</w:t>
      </w:r>
      <w:r>
        <w:rPr>
          <w:rFonts w:hint="eastAsia"/>
        </w:rPr>
        <w:t>密布于</w:t>
      </w:r>
      <w:r>
        <w:rPr>
          <w:rFonts w:hint="eastAsia"/>
        </w:rPr>
        <w:t>3</w:t>
      </w:r>
      <w:r>
        <w:t xml:space="preserve">0 </w:t>
      </w:r>
      <w:r>
        <w:rPr>
          <w:rFonts w:hint="eastAsia"/>
        </w:rPr>
        <w:t>cm</w:t>
      </w:r>
      <w:r>
        <w:rPr>
          <w:rFonts w:hint="eastAsia"/>
        </w:rPr>
        <w:t>深的土层中，有时</w:t>
      </w:r>
      <w:r>
        <w:t>可深达</w:t>
      </w:r>
      <w:r>
        <w:t xml:space="preserve">100 </w:t>
      </w:r>
      <w:r>
        <w:rPr>
          <w:rFonts w:hint="eastAsia"/>
        </w:rPr>
        <w:t>cm</w:t>
      </w:r>
      <w:r>
        <w:t>。</w:t>
      </w:r>
      <w:r>
        <w:rPr>
          <w:rFonts w:hint="eastAsia"/>
        </w:rPr>
        <w:t>互花米草具有很强的耐盐、耐淹能力，适宜生长在海滩高潮</w:t>
      </w:r>
      <w:r>
        <w:rPr>
          <w:rFonts w:hint="eastAsia"/>
        </w:rPr>
        <w:lastRenderedPageBreak/>
        <w:t>带下部至中潮带上部广阔滩面，在上海市的各区域，互花米草主要分布于高程</w:t>
      </w:r>
      <w:r>
        <w:rPr>
          <w:rFonts w:hint="eastAsia"/>
        </w:rPr>
        <w:t>1.5~3.0</w:t>
      </w:r>
      <w:r>
        <w:t>m</w:t>
      </w:r>
      <w:r>
        <w:rPr>
          <w:rFonts w:hint="eastAsia"/>
        </w:rPr>
        <w:t>的沿海海滩。</w:t>
      </w:r>
    </w:p>
    <w:tbl>
      <w:tblPr>
        <w:tblStyle w:val="a9"/>
        <w:tblW w:w="88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8"/>
        <w:gridCol w:w="2948"/>
        <w:gridCol w:w="2948"/>
      </w:tblGrid>
      <w:tr w:rsidR="00F44A2D">
        <w:tc>
          <w:tcPr>
            <w:tcW w:w="2948" w:type="dxa"/>
            <w:vAlign w:val="center"/>
          </w:tcPr>
          <w:p w:rsidR="00F44A2D" w:rsidRDefault="00772216">
            <w:pPr>
              <w:pStyle w:val="af0"/>
            </w:pPr>
            <w:bookmarkStart w:id="20" w:name="_Toc140565498"/>
            <w:bookmarkStart w:id="21" w:name="_Toc138602632"/>
            <w:r>
              <w:rPr>
                <w:noProof/>
              </w:rPr>
              <w:drawing>
                <wp:inline distT="0" distB="0" distL="114300" distR="114300">
                  <wp:extent cx="1800225" cy="1351915"/>
                  <wp:effectExtent l="0" t="0" r="13335" b="4445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F44A2D" w:rsidRDefault="00772216">
            <w:pPr>
              <w:pStyle w:val="af0"/>
            </w:pPr>
            <w:r>
              <w:rPr>
                <w:noProof/>
              </w:rPr>
              <w:drawing>
                <wp:inline distT="0" distB="0" distL="114300" distR="114300">
                  <wp:extent cx="1800225" cy="1351915"/>
                  <wp:effectExtent l="0" t="0" r="13335" b="4445"/>
                  <wp:docPr id="1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vAlign w:val="center"/>
          </w:tcPr>
          <w:p w:rsidR="00F44A2D" w:rsidRDefault="00772216">
            <w:pPr>
              <w:pStyle w:val="af0"/>
            </w:pPr>
            <w:r>
              <w:rPr>
                <w:noProof/>
              </w:rPr>
              <w:drawing>
                <wp:inline distT="0" distB="0" distL="114300" distR="114300">
                  <wp:extent cx="1800225" cy="1351915"/>
                  <wp:effectExtent l="0" t="0" r="13335" b="444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A2D" w:rsidRDefault="00772216">
      <w:pPr>
        <w:pStyle w:val="af"/>
      </w:pPr>
      <w:r>
        <w:t>图</w:t>
      </w:r>
      <w:r>
        <w:rPr>
          <w:rFonts w:hint="eastAsia"/>
        </w:rPr>
        <w:t xml:space="preserve">2 </w:t>
      </w:r>
      <w:r>
        <w:rPr>
          <w:rFonts w:hint="eastAsia"/>
        </w:rPr>
        <w:t>互花米草形态特征图</w:t>
      </w:r>
    </w:p>
    <w:p w:rsidR="00F44A2D" w:rsidRDefault="00772216">
      <w:pPr>
        <w:pStyle w:val="af3"/>
        <w:ind w:firstLine="560"/>
      </w:pPr>
      <w:r>
        <w:rPr>
          <w:rFonts w:hint="eastAsia"/>
        </w:rPr>
        <w:t>互花米草具有较强的繁殖和扩张能力，结合其无性繁殖和有性繁殖的特点，扩散过程为：种子萌发形成实生苗，实生</w:t>
      </w:r>
      <w:proofErr w:type="gramStart"/>
      <w:r>
        <w:rPr>
          <w:rFonts w:hint="eastAsia"/>
        </w:rPr>
        <w:t>苗发展</w:t>
      </w:r>
      <w:proofErr w:type="gramEnd"/>
      <w:r>
        <w:rPr>
          <w:rFonts w:hint="eastAsia"/>
        </w:rPr>
        <w:t>为单个互花米草克隆斑块，进而逐渐形成连片的互花米草植被。有性繁殖有利于互花米</w:t>
      </w:r>
      <w:proofErr w:type="gramStart"/>
      <w:r>
        <w:rPr>
          <w:rFonts w:hint="eastAsia"/>
        </w:rPr>
        <w:t>草快速</w:t>
      </w:r>
      <w:proofErr w:type="gramEnd"/>
      <w:r>
        <w:rPr>
          <w:rFonts w:hint="eastAsia"/>
        </w:rPr>
        <w:t>开拓新的生境，而无性繁殖则实现了种群的快速局部扩张，两种方式相辅相成，使得互花米草具有极高的种群扩张能力。互花米</w:t>
      </w:r>
      <w:proofErr w:type="gramStart"/>
      <w:r>
        <w:rPr>
          <w:rFonts w:hint="eastAsia"/>
        </w:rPr>
        <w:t>草能够</w:t>
      </w:r>
      <w:proofErr w:type="gramEnd"/>
      <w:r>
        <w:rPr>
          <w:rFonts w:hint="eastAsia"/>
        </w:rPr>
        <w:t>迅速取代土著植物，占据光滩和潮沟等生境，形成茂密植被，导致土著植物的丧失，并对以此为觅食和栖息的鱼类、鸟类、昆虫等产生严重影响，破坏滩涂生态系统。</w:t>
      </w:r>
    </w:p>
    <w:p w:rsidR="00F44A2D" w:rsidRDefault="00772216">
      <w:pPr>
        <w:pStyle w:val="af3"/>
        <w:ind w:firstLine="560"/>
      </w:pPr>
      <w:r>
        <w:rPr>
          <w:rFonts w:hint="eastAsia"/>
        </w:rPr>
        <w:t>上海市互花米草物候特征：</w:t>
      </w:r>
      <w:r>
        <w:t>4</w:t>
      </w:r>
      <w:r>
        <w:rPr>
          <w:rFonts w:hint="eastAsia"/>
        </w:rPr>
        <w:t>~</w:t>
      </w:r>
      <w:r>
        <w:t>11</w:t>
      </w:r>
      <w:r>
        <w:rPr>
          <w:rFonts w:hint="eastAsia"/>
        </w:rPr>
        <w:t>月为互花米草生长季，其中</w:t>
      </w:r>
      <w:r>
        <w:rPr>
          <w:rFonts w:hint="eastAsia"/>
        </w:rPr>
        <w:t>4~</w:t>
      </w:r>
      <w:r>
        <w:t>5</w:t>
      </w:r>
      <w:r>
        <w:rPr>
          <w:rFonts w:hint="eastAsia"/>
        </w:rPr>
        <w:t>月返青，</w:t>
      </w:r>
      <w:r>
        <w:rPr>
          <w:rFonts w:hint="eastAsia"/>
        </w:rPr>
        <w:t>5~</w:t>
      </w:r>
      <w:r>
        <w:t>7</w:t>
      </w:r>
      <w:r>
        <w:rPr>
          <w:rFonts w:hint="eastAsia"/>
        </w:rPr>
        <w:t>月为拔节期，伴随快速生长，</w:t>
      </w:r>
      <w:r>
        <w:t>7</w:t>
      </w:r>
      <w:r>
        <w:rPr>
          <w:rFonts w:hint="eastAsia"/>
        </w:rPr>
        <w:t>~</w:t>
      </w:r>
      <w:r>
        <w:t>8</w:t>
      </w:r>
      <w:r>
        <w:rPr>
          <w:rFonts w:hint="eastAsia"/>
        </w:rPr>
        <w:t>月为扬花期，</w:t>
      </w:r>
      <w:r>
        <w:rPr>
          <w:rFonts w:hint="eastAsia"/>
        </w:rPr>
        <w:t>9</w:t>
      </w:r>
      <w:r>
        <w:rPr>
          <w:rFonts w:hint="eastAsia"/>
        </w:rPr>
        <w:t>月形成种子，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月种子成熟，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月后逐渐枯萎。</w:t>
      </w:r>
    </w:p>
    <w:p w:rsidR="00F44A2D" w:rsidRDefault="00772216">
      <w:pPr>
        <w:pStyle w:val="ae"/>
      </w:pPr>
      <w:r>
        <w:rPr>
          <w:noProof/>
        </w:rPr>
        <w:drawing>
          <wp:inline distT="0" distB="0" distL="114300" distR="114300">
            <wp:extent cx="5260340" cy="1280795"/>
            <wp:effectExtent l="0" t="0" r="12700" b="1460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0"/>
    <w:bookmarkEnd w:id="21"/>
    <w:p w:rsidR="00F44A2D" w:rsidRDefault="00772216">
      <w:pPr>
        <w:pStyle w:val="af"/>
      </w:pPr>
      <w:r>
        <w:t>图</w:t>
      </w:r>
      <w:r>
        <w:rPr>
          <w:rFonts w:hint="eastAsia"/>
        </w:rPr>
        <w:t xml:space="preserve">3 </w:t>
      </w:r>
      <w:r>
        <w:rPr>
          <w:rFonts w:hint="eastAsia"/>
        </w:rPr>
        <w:t>互花米草群落分布</w:t>
      </w:r>
    </w:p>
    <w:p w:rsidR="00F44A2D" w:rsidRDefault="00772216">
      <w:pPr>
        <w:pStyle w:val="1"/>
      </w:pPr>
      <w:bookmarkStart w:id="22" w:name="_Toc5264"/>
      <w:bookmarkStart w:id="23" w:name="_Toc20435"/>
      <w:bookmarkStart w:id="24" w:name="_Toc140565502"/>
      <w:bookmarkStart w:id="25" w:name="_Toc11038"/>
      <w:bookmarkStart w:id="26" w:name="_Toc1331"/>
      <w:bookmarkStart w:id="27" w:name="_Toc4604"/>
      <w:r>
        <w:rPr>
          <w:rFonts w:hint="eastAsia"/>
        </w:rPr>
        <w:t>治理原则与流程</w:t>
      </w:r>
      <w:bookmarkEnd w:id="22"/>
      <w:bookmarkEnd w:id="23"/>
      <w:bookmarkEnd w:id="24"/>
      <w:bookmarkEnd w:id="25"/>
      <w:bookmarkEnd w:id="26"/>
      <w:bookmarkEnd w:id="27"/>
    </w:p>
    <w:p w:rsidR="00F44A2D" w:rsidRDefault="00772216">
      <w:pPr>
        <w:pStyle w:val="2"/>
      </w:pPr>
      <w:bookmarkStart w:id="28" w:name="_Toc19141"/>
      <w:bookmarkStart w:id="29" w:name="_Toc26537"/>
      <w:bookmarkStart w:id="30" w:name="_Toc8892"/>
      <w:bookmarkStart w:id="31" w:name="_Toc140565503"/>
      <w:bookmarkStart w:id="32" w:name="_Toc2150"/>
      <w:bookmarkStart w:id="33" w:name="_Toc29789"/>
      <w:r>
        <w:rPr>
          <w:rFonts w:hint="eastAsia"/>
        </w:rPr>
        <w:t>基本原则</w:t>
      </w:r>
      <w:bookmarkEnd w:id="28"/>
      <w:bookmarkEnd w:id="29"/>
      <w:bookmarkEnd w:id="30"/>
      <w:bookmarkEnd w:id="31"/>
      <w:bookmarkEnd w:id="32"/>
      <w:bookmarkEnd w:id="33"/>
    </w:p>
    <w:p w:rsidR="00F44A2D" w:rsidRDefault="00772216">
      <w:pPr>
        <w:ind w:firstLine="56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）生态优先，防治并重。</w:t>
      </w:r>
      <w:r>
        <w:rPr>
          <w:rFonts w:hint="eastAsia"/>
        </w:rPr>
        <w:t>突出滨海湿地生态系统生态功能，</w:t>
      </w:r>
      <w:r>
        <w:rPr>
          <w:rFonts w:hint="eastAsia"/>
        </w:rPr>
        <w:lastRenderedPageBreak/>
        <w:t>全面加强滨海湿地保护，互花米草未入侵区域以预防为主；互花米草入侵区域，强化治理，尽快消除不利影响。</w:t>
      </w:r>
    </w:p>
    <w:p w:rsidR="00F44A2D" w:rsidRDefault="00772216">
      <w:pPr>
        <w:ind w:firstLine="56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）除治为主，修复结合。</w:t>
      </w:r>
      <w:r>
        <w:rPr>
          <w:rFonts w:hint="eastAsia"/>
        </w:rPr>
        <w:t>坚持系统治理、绿色治理的理念，物理和化学措施相结合，科学合理制定治理方案。及时推进除治后的生态修复，恢复互花米草入侵前生境，防止互花米草二次入侵，维护滨海湿地的生态安全。</w:t>
      </w:r>
    </w:p>
    <w:p w:rsidR="00F44A2D" w:rsidRDefault="00772216">
      <w:pPr>
        <w:ind w:firstLine="56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）因地制宜，分区施策。</w:t>
      </w:r>
      <w:r>
        <w:rPr>
          <w:rFonts w:hint="eastAsia"/>
        </w:rPr>
        <w:t>结合区域自然环境条件、生态状况、施工条件等因素，根据不同区域互花米草的发生面积与分布特征，因地制宜，分类分区制定综合治理方案，开展精准治理。</w:t>
      </w:r>
    </w:p>
    <w:p w:rsidR="00F44A2D" w:rsidRDefault="00772216">
      <w:pPr>
        <w:ind w:firstLine="56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）分级负责，长效管护。</w:t>
      </w:r>
      <w:r>
        <w:rPr>
          <w:rFonts w:hint="eastAsia"/>
        </w:rPr>
        <w:t>强化各级部门分工合作，明确互花米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目标、任务、计划及措施等，落实互花米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责任，实施清单化管理，确保责任落实到地到时、到岗到人。建立健全长效管护机制，及时掌握和巩固互花米草除治成效。</w:t>
      </w:r>
    </w:p>
    <w:p w:rsidR="00F44A2D" w:rsidRDefault="00772216">
      <w:pPr>
        <w:pStyle w:val="2"/>
      </w:pPr>
      <w:bookmarkStart w:id="34" w:name="_Toc8387"/>
      <w:bookmarkStart w:id="35" w:name="_Toc6970"/>
      <w:bookmarkStart w:id="36" w:name="_Toc140565504"/>
      <w:bookmarkStart w:id="37" w:name="_Toc3047"/>
      <w:bookmarkStart w:id="38" w:name="_Toc25123"/>
      <w:bookmarkStart w:id="39" w:name="_Toc8046"/>
      <w:r>
        <w:rPr>
          <w:rFonts w:hint="eastAsia"/>
        </w:rPr>
        <w:t>治理流程</w:t>
      </w:r>
      <w:bookmarkEnd w:id="34"/>
      <w:bookmarkEnd w:id="35"/>
      <w:bookmarkEnd w:id="36"/>
      <w:bookmarkEnd w:id="37"/>
      <w:bookmarkEnd w:id="38"/>
      <w:bookmarkEnd w:id="39"/>
    </w:p>
    <w:p w:rsidR="00F44A2D" w:rsidRDefault="00772216">
      <w:pPr>
        <w:pStyle w:val="ae"/>
      </w:pPr>
      <w:r>
        <w:rPr>
          <w:noProof/>
        </w:rPr>
        <w:drawing>
          <wp:inline distT="0" distB="0" distL="114300" distR="114300">
            <wp:extent cx="3891280" cy="34213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D" w:rsidRDefault="00772216">
      <w:pPr>
        <w:pStyle w:val="af"/>
      </w:pPr>
      <w:r>
        <w:t>图</w:t>
      </w:r>
      <w:r>
        <w:rPr>
          <w:rFonts w:hint="eastAsia"/>
        </w:rPr>
        <w:t xml:space="preserve">4 </w:t>
      </w:r>
      <w:r>
        <w:rPr>
          <w:rFonts w:hint="eastAsia"/>
        </w:rPr>
        <w:t>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流程</w:t>
      </w:r>
    </w:p>
    <w:p w:rsidR="00F44A2D" w:rsidRDefault="00F44A2D">
      <w:pPr>
        <w:pStyle w:val="af"/>
      </w:pP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/>
          <w:b/>
        </w:rPr>
        <w:lastRenderedPageBreak/>
        <w:t>（</w:t>
      </w:r>
      <w:r>
        <w:rPr>
          <w:rFonts w:cs="Times New Roman"/>
          <w:b/>
        </w:rPr>
        <w:t>1</w:t>
      </w:r>
      <w:r>
        <w:rPr>
          <w:rFonts w:cs="Times New Roman"/>
          <w:b/>
        </w:rPr>
        <w:t>）</w:t>
      </w:r>
      <w:r>
        <w:rPr>
          <w:rFonts w:cs="Times New Roman" w:hint="eastAsia"/>
          <w:b/>
        </w:rPr>
        <w:t>场地调查</w:t>
      </w:r>
    </w:p>
    <w:p w:rsidR="00F44A2D" w:rsidRDefault="00772216">
      <w:pPr>
        <w:ind w:firstLine="560"/>
        <w:rPr>
          <w:rFonts w:cs="Times New Roman"/>
        </w:rPr>
      </w:pPr>
      <w:r>
        <w:rPr>
          <w:rFonts w:hint="eastAsia"/>
        </w:rPr>
        <w:t>通过遥感解译、无人机监测、现场调查等手段，开展场地调查，包括现状水文、地形地貌、土壤地质等自然环境；互花米草分布面积、范围；周边区域交通条件、开发利用状况等。</w:t>
      </w: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/>
          <w:b/>
        </w:rPr>
        <w:t>（</w:t>
      </w:r>
      <w:r>
        <w:rPr>
          <w:rFonts w:cs="Times New Roman"/>
          <w:b/>
        </w:rPr>
        <w:t>2</w:t>
      </w:r>
      <w:r>
        <w:rPr>
          <w:rFonts w:cs="Times New Roman"/>
          <w:b/>
        </w:rPr>
        <w:t>）</w:t>
      </w:r>
      <w:r>
        <w:rPr>
          <w:rFonts w:cs="Times New Roman" w:hint="eastAsia"/>
          <w:b/>
        </w:rPr>
        <w:t>方案编制</w:t>
      </w:r>
    </w:p>
    <w:p w:rsidR="00F44A2D" w:rsidRDefault="00772216">
      <w:pPr>
        <w:ind w:firstLine="560"/>
        <w:rPr>
          <w:rFonts w:cs="Times New Roman"/>
        </w:rPr>
      </w:pPr>
      <w:r>
        <w:rPr>
          <w:rFonts w:hint="eastAsia"/>
        </w:rPr>
        <w:t>统筹考虑场地现状、施工条件以及生态红线、自然保护区等生态敏感因子，划分互花米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单元，依据各单元互花米草在低、中、高潮滩的分布范围、生长阶段、面积大小、扩散趋势等，因地制宜编制互花米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方案。在方案编制过程中需征求水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、海洋、农业、环保等相关部门的意见，以及遵循海域使用或滩涂使用的相关规定。</w:t>
      </w: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/>
          <w:b/>
        </w:rPr>
        <w:t>（</w:t>
      </w:r>
      <w:r>
        <w:rPr>
          <w:rFonts w:cs="Times New Roman"/>
          <w:b/>
        </w:rPr>
        <w:t>3</w:t>
      </w:r>
      <w:r>
        <w:rPr>
          <w:rFonts w:cs="Times New Roman"/>
          <w:b/>
        </w:rPr>
        <w:t>）</w:t>
      </w:r>
      <w:r>
        <w:rPr>
          <w:rFonts w:cs="Times New Roman" w:hint="eastAsia"/>
          <w:b/>
        </w:rPr>
        <w:t>工程实施</w:t>
      </w:r>
    </w:p>
    <w:p w:rsidR="00F44A2D" w:rsidRDefault="00772216">
      <w:pPr>
        <w:ind w:firstLine="560"/>
        <w:rPr>
          <w:rFonts w:cs="Times New Roman"/>
        </w:rPr>
      </w:pPr>
      <w:r>
        <w:rPr>
          <w:rFonts w:hint="eastAsia"/>
        </w:rPr>
        <w:t>严格按照治理方案，组织实施互花米草的治理工作。在工程实施过程中，要加强技术支撑单位的指导和参与，与工程建设单位形成紧密合作。</w:t>
      </w: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/>
          <w:b/>
        </w:rPr>
        <w:t>（</w:t>
      </w:r>
      <w:r>
        <w:rPr>
          <w:rFonts w:cs="Times New Roman"/>
          <w:b/>
        </w:rPr>
        <w:t>4</w:t>
      </w:r>
      <w:r>
        <w:rPr>
          <w:rFonts w:cs="Times New Roman"/>
          <w:b/>
        </w:rPr>
        <w:t>）</w:t>
      </w:r>
      <w:r>
        <w:rPr>
          <w:rFonts w:cs="Times New Roman" w:hint="eastAsia"/>
          <w:b/>
        </w:rPr>
        <w:t>监测与评估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在工程实施的前、中、后期，应制定互花米草动态监测计划，选择专业的第三方机构开展互花米草的跟踪监测，对互花米草清除率、生态环境影响、生物多样性等方面进行系统性评估。</w:t>
      </w: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 w:hint="eastAsia"/>
          <w:b/>
        </w:rPr>
        <w:t>（</w:t>
      </w:r>
      <w:r>
        <w:rPr>
          <w:rFonts w:cs="Times New Roman"/>
          <w:b/>
        </w:rPr>
        <w:t>5</w:t>
      </w:r>
      <w:r>
        <w:rPr>
          <w:rFonts w:cs="Times New Roman" w:hint="eastAsia"/>
          <w:b/>
        </w:rPr>
        <w:t>）工程验收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根据治理方案设定的目标，开展工程成效的检查验收工作，并做好长效维护与管理计划。</w:t>
      </w: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/>
          <w:b/>
        </w:rPr>
        <w:t>（</w:t>
      </w:r>
      <w:r>
        <w:rPr>
          <w:rFonts w:cs="Times New Roman"/>
          <w:b/>
        </w:rPr>
        <w:t>6</w:t>
      </w:r>
      <w:r>
        <w:rPr>
          <w:rFonts w:cs="Times New Roman"/>
          <w:b/>
        </w:rPr>
        <w:t>）</w:t>
      </w:r>
      <w:r>
        <w:rPr>
          <w:rFonts w:cs="Times New Roman" w:hint="eastAsia"/>
          <w:b/>
        </w:rPr>
        <w:t>长效维护与管理</w:t>
      </w:r>
    </w:p>
    <w:p w:rsidR="00F44A2D" w:rsidRDefault="00772216">
      <w:pPr>
        <w:ind w:firstLine="560"/>
      </w:pPr>
      <w:r>
        <w:rPr>
          <w:rFonts w:hint="eastAsia"/>
        </w:rPr>
        <w:t>建立监测—预警—防控的长效维护与管理机制，对除治不彻底或二次入侵的互花米草斑块进行补充除治，消除防控盲区，切实提升防控效能，防止互花米草复发反弹，持续巩固治理成果。</w:t>
      </w:r>
    </w:p>
    <w:p w:rsidR="00F44A2D" w:rsidRDefault="00772216">
      <w:pPr>
        <w:pStyle w:val="1"/>
      </w:pPr>
      <w:bookmarkStart w:id="40" w:name="_Toc9758"/>
      <w:bookmarkStart w:id="41" w:name="_Toc4159"/>
      <w:bookmarkStart w:id="42" w:name="_Toc590"/>
      <w:bookmarkStart w:id="43" w:name="_Toc22807"/>
      <w:bookmarkStart w:id="44" w:name="_Toc140565505"/>
      <w:bookmarkStart w:id="45" w:name="_Toc24593"/>
      <w:r>
        <w:rPr>
          <w:rFonts w:hint="eastAsia"/>
        </w:rPr>
        <w:t>治理技术与作业要点</w:t>
      </w:r>
      <w:bookmarkEnd w:id="40"/>
      <w:bookmarkEnd w:id="41"/>
      <w:bookmarkEnd w:id="42"/>
      <w:bookmarkEnd w:id="43"/>
      <w:bookmarkEnd w:id="44"/>
      <w:bookmarkEnd w:id="45"/>
    </w:p>
    <w:p w:rsidR="00F44A2D" w:rsidRDefault="00772216">
      <w:pPr>
        <w:ind w:firstLine="560"/>
      </w:pPr>
      <w:r>
        <w:rPr>
          <w:rFonts w:hint="eastAsia"/>
        </w:rPr>
        <w:t>根据国内外互花米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技术研究成果，以及上海、山东、福建</w:t>
      </w:r>
      <w:r>
        <w:rPr>
          <w:rFonts w:hint="eastAsia"/>
        </w:rPr>
        <w:lastRenderedPageBreak/>
        <w:t>等省市的大规模实践，结合各技术的适用范围、作业方式及注意事项等特点，适用于上海且在工程上成熟运用的技术主要有刈割</w:t>
      </w:r>
      <w:r>
        <w:rPr>
          <w:rFonts w:hint="eastAsia"/>
        </w:rPr>
        <w:t>+</w:t>
      </w:r>
      <w:r>
        <w:rPr>
          <w:rFonts w:hint="eastAsia"/>
        </w:rPr>
        <w:t>围淹、刈割</w:t>
      </w:r>
      <w:r>
        <w:rPr>
          <w:rFonts w:hint="eastAsia"/>
        </w:rPr>
        <w:t>+</w:t>
      </w:r>
      <w:r>
        <w:rPr>
          <w:rFonts w:hint="eastAsia"/>
        </w:rPr>
        <w:t>翻耕深埋和药剂治理。</w:t>
      </w:r>
    </w:p>
    <w:p w:rsidR="00F44A2D" w:rsidRDefault="00772216">
      <w:pPr>
        <w:pStyle w:val="2"/>
      </w:pPr>
      <w:bookmarkStart w:id="46" w:name="_Toc15364"/>
      <w:bookmarkStart w:id="47" w:name="_Toc4613"/>
      <w:bookmarkStart w:id="48" w:name="_Toc31941"/>
      <w:bookmarkStart w:id="49" w:name="_Toc140565516"/>
      <w:bookmarkStart w:id="50" w:name="_Toc20394"/>
      <w:bookmarkStart w:id="51" w:name="_Toc28501"/>
      <w:r>
        <w:rPr>
          <w:rFonts w:hint="eastAsia"/>
        </w:rPr>
        <w:t>刈割</w:t>
      </w:r>
      <w:r>
        <w:rPr>
          <w:rFonts w:hint="eastAsia"/>
        </w:rPr>
        <w:t>+</w:t>
      </w:r>
      <w:r>
        <w:rPr>
          <w:rFonts w:hint="eastAsia"/>
        </w:rPr>
        <w:t>围淹</w:t>
      </w:r>
      <w:bookmarkEnd w:id="46"/>
      <w:bookmarkEnd w:id="47"/>
      <w:bookmarkEnd w:id="48"/>
      <w:bookmarkEnd w:id="49"/>
      <w:bookmarkEnd w:id="50"/>
      <w:bookmarkEnd w:id="51"/>
    </w:p>
    <w:p w:rsidR="00F44A2D" w:rsidRDefault="00772216">
      <w:pPr>
        <w:pStyle w:val="3"/>
      </w:pPr>
      <w:bookmarkStart w:id="52" w:name="_Toc140565517"/>
      <w:bookmarkStart w:id="53" w:name="_Toc27109"/>
      <w:bookmarkStart w:id="54" w:name="_Toc31738"/>
      <w:bookmarkStart w:id="55" w:name="_Toc2832"/>
      <w:bookmarkStart w:id="56" w:name="_Toc6193"/>
      <w:bookmarkStart w:id="57" w:name="_Toc18928"/>
      <w:r>
        <w:rPr>
          <w:rFonts w:hint="eastAsia"/>
        </w:rPr>
        <w:t>适用范围</w:t>
      </w:r>
      <w:bookmarkEnd w:id="52"/>
      <w:bookmarkEnd w:id="53"/>
      <w:bookmarkEnd w:id="54"/>
      <w:bookmarkEnd w:id="55"/>
      <w:bookmarkEnd w:id="56"/>
      <w:bookmarkEnd w:id="57"/>
    </w:p>
    <w:p w:rsidR="00F44A2D" w:rsidRDefault="00772216">
      <w:pPr>
        <w:ind w:firstLine="560"/>
      </w:pPr>
      <w:r>
        <w:rPr>
          <w:rFonts w:cs="Times New Roman" w:hint="eastAsia"/>
        </w:rPr>
        <w:t>适用于</w:t>
      </w:r>
      <w:r>
        <w:rPr>
          <w:rFonts w:hint="eastAsia"/>
        </w:rPr>
        <w:t>互花米草大规模连片分布且引排水方便的治理区域。</w:t>
      </w:r>
    </w:p>
    <w:p w:rsidR="00F44A2D" w:rsidRDefault="00772216">
      <w:pPr>
        <w:pStyle w:val="3"/>
      </w:pPr>
      <w:bookmarkStart w:id="58" w:name="_Toc11559"/>
      <w:bookmarkStart w:id="59" w:name="_Toc2279"/>
      <w:bookmarkStart w:id="60" w:name="_Toc9551"/>
      <w:bookmarkStart w:id="61" w:name="_Toc8717"/>
      <w:bookmarkStart w:id="62" w:name="_Toc140565518"/>
      <w:bookmarkStart w:id="63" w:name="_Toc27934"/>
      <w:r>
        <w:rPr>
          <w:rFonts w:hint="eastAsia"/>
        </w:rPr>
        <w:t>作业方式</w:t>
      </w:r>
      <w:bookmarkEnd w:id="58"/>
      <w:bookmarkEnd w:id="59"/>
      <w:bookmarkEnd w:id="60"/>
      <w:bookmarkEnd w:id="61"/>
      <w:bookmarkEnd w:id="62"/>
      <w:bookmarkEnd w:id="63"/>
    </w:p>
    <w:p w:rsidR="00F44A2D" w:rsidRDefault="00772216">
      <w:pPr>
        <w:ind w:firstLine="562"/>
      </w:pPr>
      <w:r>
        <w:rPr>
          <w:rFonts w:hint="eastAsia"/>
          <w:b/>
        </w:rPr>
        <w:t>除治原理：</w:t>
      </w:r>
      <w:r>
        <w:rPr>
          <w:rFonts w:hint="eastAsia"/>
          <w:bCs/>
        </w:rPr>
        <w:t>通过在扬花期之前刈割，阻止互花米</w:t>
      </w:r>
      <w:proofErr w:type="gramStart"/>
      <w:r>
        <w:rPr>
          <w:rFonts w:hint="eastAsia"/>
          <w:bCs/>
        </w:rPr>
        <w:t>草成熟</w:t>
      </w:r>
      <w:proofErr w:type="gramEnd"/>
      <w:r>
        <w:rPr>
          <w:rFonts w:hint="eastAsia"/>
          <w:bCs/>
        </w:rPr>
        <w:t>种子的形成，切断其有性繁殖途径。通过深度淹水，破坏互花米草地下根茎繁殖能力，阻断氧气传输，使地下根茎缺氧死亡，阻断其无性繁殖途径。</w:t>
      </w:r>
    </w:p>
    <w:p w:rsidR="00F44A2D" w:rsidRDefault="00772216">
      <w:pPr>
        <w:ind w:firstLine="562"/>
        <w:rPr>
          <w:b/>
        </w:rPr>
      </w:pPr>
      <w:r>
        <w:rPr>
          <w:rFonts w:hint="eastAsia"/>
          <w:b/>
        </w:rPr>
        <w:t>作业时间：</w:t>
      </w:r>
      <w:r>
        <w:rPr>
          <w:rFonts w:hint="eastAsia"/>
          <w:bCs/>
        </w:rPr>
        <w:t>带水刈割宜在每年的</w:t>
      </w:r>
      <w:r>
        <w:rPr>
          <w:rFonts w:hint="eastAsia"/>
          <w:bCs/>
        </w:rPr>
        <w:t>6~8</w:t>
      </w:r>
      <w:r>
        <w:rPr>
          <w:rFonts w:hint="eastAsia"/>
          <w:bCs/>
        </w:rPr>
        <w:t>月，</w:t>
      </w:r>
      <w:r>
        <w:rPr>
          <w:rFonts w:hint="eastAsia"/>
        </w:rPr>
        <w:t>单个治理单元内的互花</w:t>
      </w:r>
      <w:proofErr w:type="gramStart"/>
      <w:r>
        <w:rPr>
          <w:rFonts w:hint="eastAsia"/>
        </w:rPr>
        <w:t>米草宜在</w:t>
      </w:r>
      <w:proofErr w:type="gramEnd"/>
      <w:r>
        <w:rPr>
          <w:rFonts w:hint="eastAsia"/>
        </w:rPr>
        <w:t>7</w:t>
      </w:r>
      <w:r>
        <w:rPr>
          <w:rFonts w:hint="eastAsia"/>
        </w:rPr>
        <w:t>天内割完；围堰和引排水设施需在刈割前完成；</w:t>
      </w:r>
      <w:r>
        <w:rPr>
          <w:rFonts w:hint="eastAsia"/>
          <w:bCs/>
        </w:rPr>
        <w:t>放水淹地应在</w:t>
      </w:r>
      <w:r>
        <w:rPr>
          <w:rFonts w:hint="eastAsia"/>
        </w:rPr>
        <w:t>刈割作业结束后</w:t>
      </w:r>
      <w:r>
        <w:rPr>
          <w:rFonts w:hint="eastAsia"/>
        </w:rPr>
        <w:t>7</w:t>
      </w:r>
      <w:r>
        <w:rPr>
          <w:rFonts w:hint="eastAsia"/>
        </w:rPr>
        <w:t>天内完成，持续性淹水时间不低于</w:t>
      </w:r>
      <w:r>
        <w:rPr>
          <w:rFonts w:hint="eastAsia"/>
        </w:rPr>
        <w:t>180</w:t>
      </w:r>
      <w:r>
        <w:rPr>
          <w:rFonts w:hint="eastAsia"/>
        </w:rPr>
        <w:t>天。</w:t>
      </w:r>
    </w:p>
    <w:p w:rsidR="00F44A2D" w:rsidRDefault="00772216">
      <w:pPr>
        <w:ind w:firstLine="562"/>
        <w:rPr>
          <w:b/>
          <w:bCs/>
        </w:rPr>
      </w:pPr>
      <w:r>
        <w:rPr>
          <w:b/>
        </w:rPr>
        <w:t>作业要点：</w:t>
      </w:r>
    </w:p>
    <w:p w:rsidR="00F44A2D" w:rsidRDefault="00772216">
      <w:pPr>
        <w:ind w:firstLine="56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）围堰和布置水系</w:t>
      </w:r>
    </w:p>
    <w:p w:rsidR="00F44A2D" w:rsidRDefault="00772216">
      <w:pPr>
        <w:ind w:firstLine="560"/>
      </w:pPr>
      <w:r>
        <w:rPr>
          <w:rFonts w:hint="eastAsia"/>
        </w:rPr>
        <w:t>在互花米草分布边界外延</w:t>
      </w:r>
      <w:r>
        <w:rPr>
          <w:rFonts w:hint="eastAsia"/>
        </w:rPr>
        <w:t>50~100 m</w:t>
      </w:r>
      <w:r>
        <w:rPr>
          <w:rFonts w:hint="eastAsia"/>
        </w:rPr>
        <w:t>作为治理区范围，在治理区边缘构筑围堰，形成治理区闭合圈。通过分隔子堰划分若干个相对独立的治理单元，利用天然潮沟或河流水渠构建治理区域的临时引排水设施，引排水设施</w:t>
      </w:r>
      <w:proofErr w:type="gramStart"/>
      <w:r>
        <w:rPr>
          <w:rFonts w:hint="eastAsia"/>
        </w:rPr>
        <w:t>宜满足</w:t>
      </w:r>
      <w:proofErr w:type="gramEnd"/>
      <w:r>
        <w:rPr>
          <w:rFonts w:hint="eastAsia"/>
        </w:rPr>
        <w:t>围区内后续淹水所需水量要求。</w:t>
      </w:r>
    </w:p>
    <w:p w:rsidR="00F44A2D" w:rsidRDefault="00772216">
      <w:pPr>
        <w:ind w:firstLine="56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）带水刈割</w:t>
      </w:r>
    </w:p>
    <w:p w:rsidR="00F44A2D" w:rsidRDefault="00772216">
      <w:pPr>
        <w:ind w:firstLine="560"/>
      </w:pPr>
      <w:r>
        <w:rPr>
          <w:rFonts w:hint="eastAsia"/>
        </w:rPr>
        <w:t>优先推荐采用带水刈割，水深宜控制在</w:t>
      </w:r>
      <w:r>
        <w:rPr>
          <w:rFonts w:hint="eastAsia"/>
        </w:rPr>
        <w:t>40cm</w:t>
      </w:r>
      <w:r>
        <w:rPr>
          <w:rFonts w:hint="eastAsia"/>
        </w:rPr>
        <w:t>，利用浮筒式挖掘机、机耕船、割草机、履带式还田机等机械设备进行刈割，机械无法作业区域可采用人工措施水下刈割。刈割后互花米草植株地上残</w:t>
      </w:r>
      <w:proofErr w:type="gramStart"/>
      <w:r>
        <w:rPr>
          <w:rFonts w:hint="eastAsia"/>
        </w:rPr>
        <w:t>株高度</w:t>
      </w:r>
      <w:proofErr w:type="gramEnd"/>
      <w:r>
        <w:rPr>
          <w:rFonts w:hint="eastAsia"/>
        </w:rPr>
        <w:t>应低于</w:t>
      </w:r>
      <w:r>
        <w:rPr>
          <w:rFonts w:hint="eastAsia"/>
        </w:rPr>
        <w:t>10 cm</w:t>
      </w:r>
      <w:r>
        <w:rPr>
          <w:rFonts w:hint="eastAsia"/>
        </w:rPr>
        <w:t>。</w:t>
      </w:r>
    </w:p>
    <w:p w:rsidR="00F44A2D" w:rsidRDefault="00772216">
      <w:pPr>
        <w:ind w:firstLine="56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）放水淹地</w:t>
      </w:r>
    </w:p>
    <w:p w:rsidR="00F44A2D" w:rsidRDefault="00772216">
      <w:pPr>
        <w:ind w:firstLine="560"/>
      </w:pPr>
      <w:r>
        <w:rPr>
          <w:rFonts w:hint="eastAsia"/>
        </w:rPr>
        <w:t>从治理区外源引入陆地淡水或海水，并通过围堰区内的水系蓄纳，淹水水深应维持在不低于</w:t>
      </w:r>
      <w:r>
        <w:rPr>
          <w:rFonts w:hint="eastAsia"/>
        </w:rPr>
        <w:t>60 cm</w:t>
      </w:r>
      <w:r>
        <w:rPr>
          <w:rFonts w:hint="eastAsia"/>
        </w:rPr>
        <w:t>。</w:t>
      </w:r>
    </w:p>
    <w:p w:rsidR="00F44A2D" w:rsidRDefault="00772216">
      <w:pPr>
        <w:pStyle w:val="3"/>
      </w:pPr>
      <w:bookmarkStart w:id="64" w:name="_Toc140565519"/>
      <w:bookmarkStart w:id="65" w:name="_Toc7221"/>
      <w:bookmarkStart w:id="66" w:name="_Toc5922"/>
      <w:bookmarkStart w:id="67" w:name="_Toc23048"/>
      <w:bookmarkStart w:id="68" w:name="_Toc25130"/>
      <w:bookmarkStart w:id="69" w:name="_Toc17922"/>
      <w:r>
        <w:rPr>
          <w:rFonts w:hint="eastAsia"/>
        </w:rPr>
        <w:lastRenderedPageBreak/>
        <w:t>注意事项</w:t>
      </w:r>
      <w:bookmarkEnd w:id="64"/>
      <w:bookmarkEnd w:id="65"/>
      <w:bookmarkEnd w:id="66"/>
      <w:bookmarkEnd w:id="67"/>
      <w:bookmarkEnd w:id="68"/>
      <w:bookmarkEnd w:id="69"/>
    </w:p>
    <w:p w:rsidR="00F44A2D" w:rsidRDefault="00772216">
      <w:pPr>
        <w:numPr>
          <w:ilvl w:val="0"/>
          <w:numId w:val="2"/>
        </w:numPr>
        <w:ind w:firstLine="560"/>
      </w:pPr>
      <w:r>
        <w:rPr>
          <w:rFonts w:hint="eastAsia"/>
        </w:rPr>
        <w:t>在海堤以外的浅海滩涂区域设置的围堰和分隔子堰，应遵循相关的海域和滩涂使用规定。</w:t>
      </w:r>
    </w:p>
    <w:p w:rsidR="00F44A2D" w:rsidRDefault="00772216">
      <w:pPr>
        <w:numPr>
          <w:ilvl w:val="0"/>
          <w:numId w:val="2"/>
        </w:numPr>
        <w:ind w:firstLine="560"/>
      </w:pPr>
      <w:r>
        <w:rPr>
          <w:rFonts w:hint="eastAsia"/>
        </w:rPr>
        <w:t>刈割需在互花米草种子成熟前完成，避免成熟种子撒落滩涂随潮水扩散；刈割形成的互花米草秸秆需深埋处置或移到岸上集中处理，避免形成海漂垃圾。</w:t>
      </w:r>
    </w:p>
    <w:p w:rsidR="00F44A2D" w:rsidRDefault="00772216">
      <w:pPr>
        <w:numPr>
          <w:ilvl w:val="0"/>
          <w:numId w:val="2"/>
        </w:numPr>
        <w:ind w:firstLine="560"/>
      </w:pPr>
      <w:r>
        <w:rPr>
          <w:rFonts w:hint="eastAsia"/>
        </w:rPr>
        <w:t>淹水期间应及时补充蒸发和渗漏损失的水量，维持淹水水深。</w:t>
      </w:r>
    </w:p>
    <w:p w:rsidR="00F44A2D" w:rsidRDefault="00772216">
      <w:pPr>
        <w:numPr>
          <w:ilvl w:val="0"/>
          <w:numId w:val="2"/>
        </w:numPr>
        <w:ind w:firstLine="560"/>
      </w:pPr>
      <w:r>
        <w:rPr>
          <w:rFonts w:hint="eastAsia"/>
        </w:rPr>
        <w:t>风浪或台风可能损毁围（子）堰，需要做好围（子）堰的检查和维护工作。</w:t>
      </w:r>
    </w:p>
    <w:p w:rsidR="00F44A2D" w:rsidRDefault="00772216">
      <w:pPr>
        <w:numPr>
          <w:ilvl w:val="0"/>
          <w:numId w:val="2"/>
        </w:numPr>
        <w:ind w:firstLine="560"/>
      </w:pPr>
      <w:r>
        <w:rPr>
          <w:rFonts w:hint="eastAsia"/>
        </w:rPr>
        <w:t>在互花米草除治工程结束且本土生境完全恢复后，根据实际情况和需要，拆除围（子）堰，恢复滩地自然状态。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F44A2D">
        <w:trPr>
          <w:jc w:val="center"/>
        </w:trPr>
        <w:tc>
          <w:tcPr>
            <w:tcW w:w="4261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  <w:noProof/>
              </w:rPr>
              <w:drawing>
                <wp:inline distT="0" distB="0" distL="114935" distR="114935">
                  <wp:extent cx="2520315" cy="1800225"/>
                  <wp:effectExtent l="0" t="0" r="9525" b="13335"/>
                  <wp:docPr id="8" name="图片 3" descr="_O4A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_O4A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  <w:noProof/>
              </w:rPr>
              <w:drawing>
                <wp:inline distT="0" distB="0" distL="114935" distR="114935">
                  <wp:extent cx="2520315" cy="1800225"/>
                  <wp:effectExtent l="0" t="0" r="9525" b="13335"/>
                  <wp:docPr id="9" name="Picture 14" descr="QQ截图2016082313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4" descr="QQ截图2016082313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A2D" w:rsidRDefault="00772216">
      <w:pPr>
        <w:pStyle w:val="af"/>
      </w:pPr>
      <w:r>
        <w:rPr>
          <w:rFonts w:hint="eastAsia"/>
        </w:rPr>
        <w:t>图</w:t>
      </w:r>
      <w:r>
        <w:rPr>
          <w:rFonts w:hint="eastAsia"/>
        </w:rPr>
        <w:t xml:space="preserve">5 </w:t>
      </w:r>
      <w:r>
        <w:rPr>
          <w:rFonts w:hint="eastAsia"/>
        </w:rPr>
        <w:t>带水刈割</w:t>
      </w:r>
    </w:p>
    <w:p w:rsidR="00F44A2D" w:rsidRDefault="00772216">
      <w:pPr>
        <w:pStyle w:val="2"/>
      </w:pPr>
      <w:bookmarkStart w:id="70" w:name="_Toc6721"/>
      <w:bookmarkStart w:id="71" w:name="_Toc15134"/>
      <w:bookmarkStart w:id="72" w:name="_Toc10625"/>
      <w:bookmarkStart w:id="73" w:name="_Toc523"/>
      <w:bookmarkStart w:id="74" w:name="_Toc140565521"/>
      <w:bookmarkStart w:id="75" w:name="_Toc8632"/>
      <w:r>
        <w:rPr>
          <w:rFonts w:hint="eastAsia"/>
        </w:rPr>
        <w:t>刈割</w:t>
      </w:r>
      <w:r>
        <w:rPr>
          <w:rFonts w:hint="eastAsia"/>
        </w:rPr>
        <w:t>+</w:t>
      </w:r>
      <w:r>
        <w:rPr>
          <w:rFonts w:hint="eastAsia"/>
        </w:rPr>
        <w:t>翻耕深埋</w:t>
      </w:r>
      <w:bookmarkEnd w:id="70"/>
      <w:bookmarkEnd w:id="71"/>
      <w:bookmarkEnd w:id="72"/>
      <w:bookmarkEnd w:id="73"/>
      <w:bookmarkEnd w:id="74"/>
      <w:bookmarkEnd w:id="75"/>
    </w:p>
    <w:p w:rsidR="00F44A2D" w:rsidRDefault="00772216">
      <w:pPr>
        <w:pStyle w:val="3"/>
      </w:pPr>
      <w:bookmarkStart w:id="76" w:name="_Toc140565522"/>
      <w:bookmarkStart w:id="77" w:name="_Toc29009"/>
      <w:bookmarkStart w:id="78" w:name="_Toc138602663"/>
      <w:bookmarkStart w:id="79" w:name="_Toc7382"/>
      <w:bookmarkStart w:id="80" w:name="_Toc15221"/>
      <w:bookmarkStart w:id="81" w:name="_Toc25125"/>
      <w:bookmarkStart w:id="82" w:name="_Toc4708"/>
      <w:bookmarkStart w:id="83" w:name="_Toc138602662"/>
      <w:r>
        <w:rPr>
          <w:rFonts w:hint="eastAsia"/>
        </w:rPr>
        <w:t>适用范围</w:t>
      </w:r>
      <w:bookmarkEnd w:id="76"/>
      <w:bookmarkEnd w:id="77"/>
      <w:bookmarkEnd w:id="78"/>
      <w:bookmarkEnd w:id="79"/>
      <w:bookmarkEnd w:id="80"/>
      <w:bookmarkEnd w:id="81"/>
      <w:bookmarkEnd w:id="82"/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适用于大面积互花米草分布且底质</w:t>
      </w:r>
      <w:r>
        <w:rPr>
          <w:rFonts w:cs="Times New Roman"/>
        </w:rPr>
        <w:t>较硬</w:t>
      </w:r>
      <w:r>
        <w:rPr>
          <w:rFonts w:cs="Times New Roman" w:hint="eastAsia"/>
        </w:rPr>
        <w:t>，受潮水冲刷影响较小的中高潮滩区域。</w:t>
      </w:r>
    </w:p>
    <w:p w:rsidR="00F44A2D" w:rsidRDefault="00772216">
      <w:pPr>
        <w:pStyle w:val="3"/>
      </w:pPr>
      <w:bookmarkStart w:id="84" w:name="_Toc25732"/>
      <w:bookmarkStart w:id="85" w:name="_Toc29389"/>
      <w:bookmarkStart w:id="86" w:name="_Toc32664"/>
      <w:bookmarkStart w:id="87" w:name="_Toc140565523"/>
      <w:bookmarkStart w:id="88" w:name="_Toc32179"/>
      <w:bookmarkStart w:id="89" w:name="_Toc20520"/>
      <w:r>
        <w:rPr>
          <w:rFonts w:hint="eastAsia"/>
        </w:rPr>
        <w:t>作业方式</w:t>
      </w:r>
      <w:bookmarkEnd w:id="83"/>
      <w:bookmarkEnd w:id="84"/>
      <w:bookmarkEnd w:id="85"/>
      <w:bookmarkEnd w:id="86"/>
      <w:bookmarkEnd w:id="87"/>
      <w:bookmarkEnd w:id="88"/>
      <w:bookmarkEnd w:id="89"/>
    </w:p>
    <w:p w:rsidR="00F44A2D" w:rsidRDefault="00772216">
      <w:pPr>
        <w:ind w:firstLine="562"/>
      </w:pPr>
      <w:r>
        <w:rPr>
          <w:rFonts w:hint="eastAsia"/>
          <w:b/>
        </w:rPr>
        <w:t>除治原理：</w:t>
      </w:r>
      <w:r>
        <w:rPr>
          <w:rFonts w:cs="Times New Roman" w:hint="eastAsia"/>
        </w:rPr>
        <w:t>先通过“</w:t>
      </w:r>
      <w:proofErr w:type="gramStart"/>
      <w:r>
        <w:rPr>
          <w:rFonts w:cs="Times New Roman" w:hint="eastAsia"/>
        </w:rPr>
        <w:t>刈</w:t>
      </w:r>
      <w:proofErr w:type="gramEnd"/>
      <w:r>
        <w:rPr>
          <w:rFonts w:cs="Times New Roman" w:hint="eastAsia"/>
        </w:rPr>
        <w:t>割切断种源”手段阻止互花米草种子成熟、扩散和萌发，切断有性繁殖途径；刈割后通过“冬季翻耕清根茎”手</w:t>
      </w:r>
      <w:r>
        <w:rPr>
          <w:rFonts w:cs="Times New Roman" w:hint="eastAsia"/>
        </w:rPr>
        <w:lastRenderedPageBreak/>
        <w:t>段破坏互花米草根茎结构并深埋根状茎，切断无性繁殖扩散途径。</w:t>
      </w:r>
    </w:p>
    <w:p w:rsidR="00F44A2D" w:rsidRDefault="00772216">
      <w:pPr>
        <w:ind w:firstLine="562"/>
        <w:rPr>
          <w:rFonts w:cs="Times New Roman"/>
        </w:rPr>
      </w:pPr>
      <w:r>
        <w:rPr>
          <w:rFonts w:hint="eastAsia"/>
          <w:b/>
        </w:rPr>
        <w:t>作业时间：</w:t>
      </w:r>
      <w:r>
        <w:rPr>
          <w:rFonts w:hint="eastAsia"/>
        </w:rPr>
        <w:t>刈割宜在每年的</w:t>
      </w:r>
      <w:r>
        <w:rPr>
          <w:rFonts w:hint="eastAsia"/>
        </w:rPr>
        <w:t>5~10</w:t>
      </w:r>
      <w:r>
        <w:rPr>
          <w:rFonts w:hint="eastAsia"/>
        </w:rPr>
        <w:t>月进行，且第一次刈割宜在扬花期之前进行；翻耕深埋宜</w:t>
      </w:r>
      <w:r>
        <w:rPr>
          <w:rFonts w:cs="Times New Roman" w:hint="eastAsia"/>
        </w:rPr>
        <w:t>在刈割后的</w:t>
      </w:r>
      <w:r>
        <w:rPr>
          <w:rFonts w:cs="Times New Roman" w:hint="eastAsia"/>
        </w:rPr>
        <w:t>11</w:t>
      </w:r>
      <w:r>
        <w:rPr>
          <w:rFonts w:cs="Times New Roman" w:hint="eastAsia"/>
        </w:rPr>
        <w:t>月</w:t>
      </w:r>
      <w:r>
        <w:rPr>
          <w:rFonts w:cs="Times New Roman" w:hint="eastAsia"/>
        </w:rPr>
        <w:t>~</w:t>
      </w:r>
      <w:r>
        <w:rPr>
          <w:rFonts w:cs="Times New Roman" w:hint="eastAsia"/>
        </w:rPr>
        <w:t>次年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月间进行，对刈割后的互花米草进行翻耕深埋。</w:t>
      </w:r>
    </w:p>
    <w:p w:rsidR="00F44A2D" w:rsidRDefault="00772216">
      <w:pPr>
        <w:ind w:firstLine="562"/>
        <w:rPr>
          <w:b/>
        </w:rPr>
      </w:pPr>
      <w:r>
        <w:rPr>
          <w:rFonts w:hint="eastAsia"/>
          <w:b/>
        </w:rPr>
        <w:t>作业要点：</w:t>
      </w:r>
    </w:p>
    <w:p w:rsidR="00F44A2D" w:rsidRDefault="00772216">
      <w:pPr>
        <w:ind w:firstLine="56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1</w:t>
      </w:r>
      <w:r>
        <w:rPr>
          <w:rFonts w:cs="Times New Roman" w:hint="eastAsia"/>
          <w:color w:val="000000" w:themeColor="text1"/>
        </w:rPr>
        <w:t>）</w:t>
      </w:r>
      <w:r>
        <w:rPr>
          <w:rFonts w:cs="Times New Roman"/>
          <w:color w:val="000000" w:themeColor="text1"/>
        </w:rPr>
        <w:t>通过人工或机械措施进行</w:t>
      </w:r>
      <w:r>
        <w:rPr>
          <w:rFonts w:cs="Times New Roman" w:hint="eastAsia"/>
          <w:color w:val="000000" w:themeColor="text1"/>
        </w:rPr>
        <w:t>植株</w:t>
      </w:r>
      <w:r>
        <w:rPr>
          <w:rFonts w:cs="Times New Roman"/>
          <w:color w:val="000000" w:themeColor="text1"/>
        </w:rPr>
        <w:t>地上部分</w:t>
      </w:r>
      <w:r>
        <w:rPr>
          <w:rFonts w:cs="Times New Roman" w:hint="eastAsia"/>
          <w:color w:val="000000" w:themeColor="text1"/>
        </w:rPr>
        <w:t>刈割，刈割后留茬高度应不超过</w:t>
      </w:r>
      <w:r>
        <w:rPr>
          <w:rFonts w:cs="Times New Roman"/>
          <w:color w:val="000000" w:themeColor="text1"/>
        </w:rPr>
        <w:t>10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cm</w:t>
      </w:r>
      <w:r>
        <w:rPr>
          <w:rFonts w:cs="Times New Roman" w:hint="eastAsia"/>
          <w:color w:val="000000" w:themeColor="text1"/>
        </w:rPr>
        <w:t>，根茬高度越低越好。当植株重新生长到高度</w:t>
      </w:r>
      <w:r>
        <w:rPr>
          <w:rFonts w:cs="Times New Roman"/>
          <w:color w:val="000000" w:themeColor="text1"/>
        </w:rPr>
        <w:t>20</w:t>
      </w:r>
      <w:r>
        <w:rPr>
          <w:rFonts w:cs="Times New Roman" w:hint="eastAsia"/>
          <w:color w:val="000000" w:themeColor="text1"/>
        </w:rPr>
        <w:t>~</w:t>
      </w:r>
      <w:r>
        <w:rPr>
          <w:rFonts w:cs="Times New Roman"/>
          <w:color w:val="000000" w:themeColor="text1"/>
        </w:rPr>
        <w:t>30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cm</w:t>
      </w:r>
      <w:r>
        <w:rPr>
          <w:rFonts w:cs="Times New Roman"/>
          <w:color w:val="000000" w:themeColor="text1"/>
        </w:rPr>
        <w:t>时，应开展再次刈割，刈割次数不小于</w:t>
      </w:r>
      <w:r>
        <w:rPr>
          <w:rFonts w:cs="Times New Roman" w:hint="eastAsia"/>
          <w:color w:val="000000" w:themeColor="text1"/>
        </w:rPr>
        <w:t>3</w:t>
      </w:r>
      <w:r>
        <w:rPr>
          <w:rFonts w:cs="Times New Roman" w:hint="eastAsia"/>
          <w:color w:val="000000" w:themeColor="text1"/>
        </w:rPr>
        <w:t>次</w:t>
      </w:r>
      <w:r>
        <w:rPr>
          <w:rFonts w:cs="Times New Roman"/>
          <w:color w:val="000000" w:themeColor="text1"/>
        </w:rPr>
        <w:t>。</w:t>
      </w:r>
      <w:r>
        <w:rPr>
          <w:rFonts w:cs="Times New Roman" w:hint="eastAsia"/>
          <w:color w:val="000000" w:themeColor="text1"/>
        </w:rPr>
        <w:t>单个治理</w:t>
      </w:r>
      <w:r>
        <w:rPr>
          <w:rFonts w:cs="Times New Roman"/>
          <w:color w:val="000000" w:themeColor="text1"/>
        </w:rPr>
        <w:t>单元内植株单次刈割</w:t>
      </w:r>
      <w:r>
        <w:rPr>
          <w:rFonts w:cs="Times New Roman" w:hint="eastAsia"/>
          <w:color w:val="000000" w:themeColor="text1"/>
        </w:rPr>
        <w:t>应</w:t>
      </w:r>
      <w:r>
        <w:rPr>
          <w:rFonts w:cs="Times New Roman"/>
          <w:color w:val="000000" w:themeColor="text1"/>
        </w:rPr>
        <w:t>在</w:t>
      </w:r>
      <w:r>
        <w:rPr>
          <w:rFonts w:cs="Times New Roman"/>
          <w:color w:val="000000" w:themeColor="text1"/>
        </w:rPr>
        <w:t>7</w:t>
      </w:r>
      <w:r>
        <w:rPr>
          <w:rFonts w:cs="Times New Roman"/>
          <w:color w:val="000000" w:themeColor="text1"/>
        </w:rPr>
        <w:t>天内</w:t>
      </w:r>
      <w:r>
        <w:rPr>
          <w:rFonts w:cs="Times New Roman" w:hint="eastAsia"/>
          <w:color w:val="000000" w:themeColor="text1"/>
        </w:rPr>
        <w:t>割完（单个治理单元面积不大于</w:t>
      </w:r>
      <w:r>
        <w:rPr>
          <w:rFonts w:cs="Times New Roman" w:hint="eastAsia"/>
          <w:color w:val="000000" w:themeColor="text1"/>
        </w:rPr>
        <w:t>1</w:t>
      </w:r>
      <w:r>
        <w:rPr>
          <w:rFonts w:cs="Times New Roman"/>
          <w:color w:val="000000" w:themeColor="text1"/>
        </w:rPr>
        <w:t>00</w:t>
      </w:r>
      <w:r>
        <w:rPr>
          <w:rFonts w:cs="Times New Roman" w:hint="eastAsia"/>
          <w:color w:val="000000" w:themeColor="text1"/>
        </w:rPr>
        <w:t xml:space="preserve"> ha</w:t>
      </w:r>
      <w:r>
        <w:rPr>
          <w:rFonts w:cs="Times New Roman" w:hint="eastAsia"/>
          <w:color w:val="000000" w:themeColor="text1"/>
        </w:rPr>
        <w:t>）</w:t>
      </w:r>
      <w:r>
        <w:rPr>
          <w:rFonts w:cs="Times New Roman"/>
          <w:color w:val="000000" w:themeColor="text1"/>
        </w:rPr>
        <w:t>。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）翻耕深度需达</w:t>
      </w:r>
      <w:r>
        <w:rPr>
          <w:rFonts w:cs="Times New Roman"/>
        </w:rPr>
        <w:t>3</w:t>
      </w:r>
      <w:r>
        <w:rPr>
          <w:rFonts w:cs="Times New Roman" w:hint="eastAsia"/>
        </w:rPr>
        <w:t>0~</w:t>
      </w:r>
      <w:r>
        <w:rPr>
          <w:rFonts w:cs="Times New Roman"/>
        </w:rPr>
        <w:t>5</w:t>
      </w:r>
      <w:r>
        <w:rPr>
          <w:rFonts w:cs="Times New Roman" w:hint="eastAsia"/>
        </w:rPr>
        <w:t>0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cm</w:t>
      </w:r>
      <w:r>
        <w:rPr>
          <w:rFonts w:cs="Times New Roman" w:hint="eastAsia"/>
        </w:rPr>
        <w:t>，翻耕后宜清除根状茎，再通过翻耕或旋耕切碎剩余无法清除的根状茎，使残留的根状茎长度尽可能小。翻耕次数不小于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次。</w:t>
      </w:r>
    </w:p>
    <w:p w:rsidR="00F44A2D" w:rsidRDefault="00772216">
      <w:pPr>
        <w:ind w:firstLine="560"/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）将翻耕后带有根茎的表层土深埋，填埋深度不小于</w:t>
      </w:r>
      <w:r>
        <w:rPr>
          <w:rFonts w:cs="Times New Roman" w:hint="eastAsia"/>
        </w:rPr>
        <w:t>1</w:t>
      </w:r>
      <w:r>
        <w:rPr>
          <w:rFonts w:cs="Times New Roman"/>
        </w:rPr>
        <w:t>50 cm</w:t>
      </w:r>
      <w:r>
        <w:rPr>
          <w:rFonts w:cs="Times New Roman" w:hint="eastAsia"/>
        </w:rPr>
        <w:t>，</w:t>
      </w:r>
      <w:r>
        <w:rPr>
          <w:rFonts w:cs="Times New Roman"/>
        </w:rPr>
        <w:t>面层</w:t>
      </w:r>
      <w:proofErr w:type="gramStart"/>
      <w:r>
        <w:rPr>
          <w:rFonts w:cs="Times New Roman"/>
        </w:rPr>
        <w:t>覆素土</w:t>
      </w:r>
      <w:proofErr w:type="gramEnd"/>
      <w:r>
        <w:rPr>
          <w:rFonts w:cs="Times New Roman"/>
        </w:rPr>
        <w:t>厚度不小于</w:t>
      </w:r>
      <w:r>
        <w:rPr>
          <w:rFonts w:cs="Times New Roman"/>
        </w:rPr>
        <w:t>50 cm</w:t>
      </w:r>
      <w:r>
        <w:rPr>
          <w:rFonts w:cs="Times New Roman"/>
        </w:rPr>
        <w:t>。</w:t>
      </w:r>
      <w:r>
        <w:rPr>
          <w:rFonts w:cs="Times New Roman" w:hint="eastAsia"/>
        </w:rPr>
        <w:t>应精心制定翻耕深埋施工专项方案，划分工区和网格，依次实施翻耕</w:t>
      </w:r>
      <w:r>
        <w:rPr>
          <w:rFonts w:cs="Times New Roman"/>
        </w:rPr>
        <w:t>–</w:t>
      </w:r>
      <w:r>
        <w:rPr>
          <w:rFonts w:cs="Times New Roman"/>
        </w:rPr>
        <w:t>深埋</w:t>
      </w:r>
      <w:r>
        <w:rPr>
          <w:rFonts w:cs="Times New Roman"/>
        </w:rPr>
        <w:t>–</w:t>
      </w:r>
      <w:r>
        <w:rPr>
          <w:rFonts w:cs="Times New Roman"/>
        </w:rPr>
        <w:t>回填，保证不漏格。</w:t>
      </w:r>
      <w:r>
        <w:rPr>
          <w:rFonts w:cs="Times New Roman" w:hint="eastAsia"/>
        </w:rPr>
        <w:t>翻耕深埋时机宜选择落潮时段，在一个潮周期完成。开挖深埋沟（坑）时应控制形成过大开挖面，开挖后注意实时覆盖并压实，防止潮涨潮</w:t>
      </w:r>
      <w:proofErr w:type="gramStart"/>
      <w:r>
        <w:rPr>
          <w:rFonts w:cs="Times New Roman" w:hint="eastAsia"/>
        </w:rPr>
        <w:t>落造成</w:t>
      </w:r>
      <w:proofErr w:type="gramEnd"/>
      <w:r>
        <w:rPr>
          <w:rFonts w:cs="Times New Roman" w:hint="eastAsia"/>
        </w:rPr>
        <w:t>水土流失。深埋时应尽量降低沟内水位，不得带水填土。表层覆盖土应不含互花米草繁殖体。</w:t>
      </w:r>
    </w:p>
    <w:p w:rsidR="00F44A2D" w:rsidRDefault="00772216">
      <w:pPr>
        <w:pStyle w:val="3"/>
      </w:pPr>
      <w:bookmarkStart w:id="90" w:name="_Toc30490"/>
      <w:bookmarkStart w:id="91" w:name="_Toc138602664"/>
      <w:bookmarkStart w:id="92" w:name="_Toc140565524"/>
      <w:bookmarkStart w:id="93" w:name="_Toc19603"/>
      <w:bookmarkStart w:id="94" w:name="_Toc6783"/>
      <w:bookmarkStart w:id="95" w:name="_Toc19272"/>
      <w:bookmarkStart w:id="96" w:name="_Toc22001"/>
      <w:r>
        <w:rPr>
          <w:rFonts w:hint="eastAsia"/>
        </w:rPr>
        <w:t>注意事项</w:t>
      </w:r>
      <w:bookmarkEnd w:id="90"/>
      <w:bookmarkEnd w:id="91"/>
      <w:bookmarkEnd w:id="92"/>
      <w:bookmarkEnd w:id="93"/>
      <w:bookmarkEnd w:id="94"/>
      <w:bookmarkEnd w:id="95"/>
      <w:bookmarkEnd w:id="96"/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/>
        </w:rPr>
        <w:t>淤</w:t>
      </w:r>
      <w:r>
        <w:rPr>
          <w:rFonts w:cs="Times New Roman" w:hint="eastAsia"/>
        </w:rPr>
        <w:t>泥质较厚的滩涂不建议使用，以防挖掘机陷入淤泥之中。深埋深度不达标</w:t>
      </w:r>
      <w:r>
        <w:rPr>
          <w:rFonts w:cs="Times New Roman"/>
        </w:rPr>
        <w:t>或挖掘</w:t>
      </w:r>
      <w:r>
        <w:rPr>
          <w:rFonts w:cs="Times New Roman" w:hint="eastAsia"/>
        </w:rPr>
        <w:t>作业</w:t>
      </w:r>
      <w:r>
        <w:rPr>
          <w:rFonts w:cs="Times New Roman"/>
        </w:rPr>
        <w:t>不仔细导致繁殖体残留</w:t>
      </w:r>
      <w:r>
        <w:rPr>
          <w:rFonts w:cs="Times New Roman" w:hint="eastAsia"/>
        </w:rPr>
        <w:t>在</w:t>
      </w:r>
      <w:r>
        <w:rPr>
          <w:rFonts w:cs="Times New Roman"/>
        </w:rPr>
        <w:t>表层土，</w:t>
      </w:r>
      <w:r>
        <w:rPr>
          <w:rFonts w:cs="Times New Roman" w:hint="eastAsia"/>
        </w:rPr>
        <w:t>会</w:t>
      </w:r>
      <w:r>
        <w:rPr>
          <w:rFonts w:cs="Times New Roman"/>
        </w:rPr>
        <w:t>导致</w:t>
      </w:r>
      <w:r>
        <w:rPr>
          <w:rFonts w:cs="Times New Roman" w:hint="eastAsia"/>
        </w:rPr>
        <w:t>后期</w:t>
      </w:r>
      <w:r>
        <w:rPr>
          <w:rFonts w:cs="Times New Roman"/>
        </w:rPr>
        <w:t>互花米草复发。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00"/>
        <w:gridCol w:w="4322"/>
      </w:tblGrid>
      <w:tr w:rsidR="00F44A2D">
        <w:trPr>
          <w:jc w:val="center"/>
        </w:trPr>
        <w:tc>
          <w:tcPr>
            <w:tcW w:w="4148" w:type="dxa"/>
            <w:vAlign w:val="center"/>
          </w:tcPr>
          <w:p w:rsidR="00F44A2D" w:rsidRDefault="00772216">
            <w:pPr>
              <w:pStyle w:val="af0"/>
            </w:pPr>
            <w:r>
              <w:rPr>
                <w:noProof/>
                <w:szCs w:val="21"/>
              </w:rPr>
              <w:lastRenderedPageBreak/>
              <w:drawing>
                <wp:inline distT="0" distB="0" distL="114935" distR="114935">
                  <wp:extent cx="2520315" cy="1800225"/>
                  <wp:effectExtent l="0" t="0" r="9525" b="13335"/>
                  <wp:docPr id="12" name="图片 12" descr="微信图片_2022090608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9060847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  <w:noProof/>
              </w:rPr>
              <w:drawing>
                <wp:inline distT="0" distB="0" distL="114935" distR="114935">
                  <wp:extent cx="2520315" cy="1799590"/>
                  <wp:effectExtent l="0" t="0" r="9525" b="13970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A2D" w:rsidRDefault="00772216">
      <w:pPr>
        <w:pStyle w:val="af"/>
      </w:pPr>
      <w:r>
        <w:rPr>
          <w:rFonts w:hint="eastAsia"/>
        </w:rPr>
        <w:t>图</w:t>
      </w:r>
      <w:r>
        <w:rPr>
          <w:rFonts w:hint="eastAsia"/>
        </w:rPr>
        <w:t xml:space="preserve">6 </w:t>
      </w:r>
      <w:r>
        <w:rPr>
          <w:rFonts w:hint="eastAsia"/>
        </w:rPr>
        <w:t>刈割</w:t>
      </w:r>
      <w:r>
        <w:rPr>
          <w:rFonts w:hint="eastAsia"/>
        </w:rPr>
        <w:t>+</w:t>
      </w:r>
      <w:r>
        <w:rPr>
          <w:rFonts w:hint="eastAsia"/>
        </w:rPr>
        <w:t>翻耕深埋</w:t>
      </w:r>
    </w:p>
    <w:p w:rsidR="00F44A2D" w:rsidRDefault="00772216">
      <w:pPr>
        <w:pStyle w:val="2"/>
      </w:pPr>
      <w:bookmarkStart w:id="97" w:name="_Toc138602666"/>
      <w:bookmarkStart w:id="98" w:name="_Toc140565526"/>
      <w:bookmarkStart w:id="99" w:name="_Toc11523"/>
      <w:bookmarkStart w:id="100" w:name="_Toc21862"/>
      <w:bookmarkStart w:id="101" w:name="_Toc11280"/>
      <w:bookmarkStart w:id="102" w:name="_Toc19271"/>
      <w:bookmarkStart w:id="103" w:name="_Toc31749"/>
      <w:r>
        <w:rPr>
          <w:rFonts w:hint="eastAsia"/>
        </w:rPr>
        <w:t>药剂治理</w:t>
      </w:r>
      <w:bookmarkEnd w:id="97"/>
      <w:bookmarkEnd w:id="98"/>
      <w:bookmarkEnd w:id="99"/>
      <w:bookmarkEnd w:id="100"/>
      <w:bookmarkEnd w:id="101"/>
      <w:bookmarkEnd w:id="102"/>
      <w:bookmarkEnd w:id="103"/>
    </w:p>
    <w:p w:rsidR="00F44A2D" w:rsidRDefault="00772216">
      <w:pPr>
        <w:pStyle w:val="3"/>
      </w:pPr>
      <w:bookmarkStart w:id="104" w:name="_Toc138602668"/>
      <w:bookmarkStart w:id="105" w:name="_Toc3651"/>
      <w:bookmarkStart w:id="106" w:name="_Toc24834"/>
      <w:bookmarkStart w:id="107" w:name="_Toc23069"/>
      <w:bookmarkStart w:id="108" w:name="_Toc140565527"/>
      <w:bookmarkStart w:id="109" w:name="_Toc31325"/>
      <w:bookmarkStart w:id="110" w:name="_Toc17770"/>
      <w:bookmarkStart w:id="111" w:name="_Toc138602667"/>
      <w:r>
        <w:rPr>
          <w:rFonts w:hint="eastAsia"/>
        </w:rPr>
        <w:t>适用范围</w:t>
      </w:r>
      <w:bookmarkEnd w:id="104"/>
      <w:bookmarkEnd w:id="105"/>
      <w:bookmarkEnd w:id="106"/>
      <w:bookmarkEnd w:id="107"/>
      <w:bookmarkEnd w:id="108"/>
      <w:bookmarkEnd w:id="109"/>
      <w:bookmarkEnd w:id="110"/>
    </w:p>
    <w:p w:rsidR="00F44A2D" w:rsidRDefault="00772216">
      <w:pPr>
        <w:ind w:firstLine="560"/>
      </w:pPr>
      <w:r>
        <w:rPr>
          <w:rFonts w:hint="eastAsia"/>
        </w:rPr>
        <w:t>适用于高、中、低潮滩，且潮水退却后</w:t>
      </w:r>
      <w:proofErr w:type="gramStart"/>
      <w:r>
        <w:rPr>
          <w:rFonts w:hint="eastAsia"/>
        </w:rPr>
        <w:t>露滩时间</w:t>
      </w:r>
      <w:proofErr w:type="gramEnd"/>
      <w:r>
        <w:t>6</w:t>
      </w:r>
      <w:r>
        <w:rPr>
          <w:rFonts w:hint="eastAsia"/>
        </w:rPr>
        <w:t>小时</w:t>
      </w:r>
      <w:r>
        <w:t>以上</w:t>
      </w:r>
      <w:r>
        <w:rPr>
          <w:rFonts w:hint="eastAsia"/>
        </w:rPr>
        <w:t>的区域，对底质环境条件无要求。</w:t>
      </w:r>
    </w:p>
    <w:p w:rsidR="00F44A2D" w:rsidRDefault="00772216">
      <w:pPr>
        <w:pStyle w:val="3"/>
      </w:pPr>
      <w:bookmarkStart w:id="112" w:name="_Toc1942"/>
      <w:bookmarkStart w:id="113" w:name="_Toc22639"/>
      <w:bookmarkStart w:id="114" w:name="_Toc140565528"/>
      <w:bookmarkStart w:id="115" w:name="_Toc27195"/>
      <w:bookmarkStart w:id="116" w:name="_Toc17623"/>
      <w:bookmarkStart w:id="117" w:name="_Toc20617"/>
      <w:r>
        <w:rPr>
          <w:rFonts w:hint="eastAsia"/>
        </w:rPr>
        <w:t>作业方式</w:t>
      </w:r>
      <w:bookmarkEnd w:id="111"/>
      <w:bookmarkEnd w:id="112"/>
      <w:bookmarkEnd w:id="113"/>
      <w:bookmarkEnd w:id="114"/>
      <w:bookmarkEnd w:id="115"/>
      <w:bookmarkEnd w:id="116"/>
      <w:bookmarkEnd w:id="117"/>
    </w:p>
    <w:p w:rsidR="00F44A2D" w:rsidRDefault="00772216">
      <w:pPr>
        <w:ind w:firstLine="562"/>
      </w:pPr>
      <w:r>
        <w:rPr>
          <w:rFonts w:hint="eastAsia"/>
          <w:b/>
        </w:rPr>
        <w:t>除治原理：</w:t>
      </w:r>
      <w:r>
        <w:rPr>
          <w:rFonts w:hint="eastAsia"/>
        </w:rPr>
        <w:t>对靶向植株茎叶喷洒除草剂，通过植物叶片吸收药剂传导至根部，抑制根、</w:t>
      </w:r>
      <w:proofErr w:type="gramStart"/>
      <w:r>
        <w:rPr>
          <w:rFonts w:hint="eastAsia"/>
        </w:rPr>
        <w:t>茎等分生组织</w:t>
      </w:r>
      <w:proofErr w:type="gramEnd"/>
      <w:r>
        <w:rPr>
          <w:rFonts w:hint="eastAsia"/>
        </w:rPr>
        <w:t>的生长，导致新叶失绿和组织坏死，最终逐渐枯萎腐烂。</w:t>
      </w:r>
    </w:p>
    <w:p w:rsidR="00F44A2D" w:rsidRDefault="00772216">
      <w:pPr>
        <w:ind w:firstLine="562"/>
        <w:rPr>
          <w:rFonts w:cs="Times New Roman"/>
          <w:color w:val="000000" w:themeColor="text1"/>
        </w:rPr>
      </w:pPr>
      <w:r>
        <w:rPr>
          <w:rFonts w:hint="eastAsia"/>
          <w:b/>
        </w:rPr>
        <w:t>作业时间：</w:t>
      </w:r>
      <w:r>
        <w:rPr>
          <w:rFonts w:cs="Times New Roman" w:hint="eastAsia"/>
          <w:color w:val="000000" w:themeColor="text1"/>
        </w:rPr>
        <w:t>在</w:t>
      </w:r>
      <w:r>
        <w:rPr>
          <w:rFonts w:cs="Times New Roman"/>
          <w:color w:val="000000" w:themeColor="text1"/>
        </w:rPr>
        <w:t>每年</w:t>
      </w:r>
      <w:r>
        <w:rPr>
          <w:rFonts w:cs="Times New Roman"/>
          <w:color w:val="000000" w:themeColor="text1"/>
        </w:rPr>
        <w:t>6~</w:t>
      </w:r>
      <w:r>
        <w:rPr>
          <w:rFonts w:cs="Times New Roman" w:hint="eastAsia"/>
          <w:color w:val="000000" w:themeColor="text1"/>
        </w:rPr>
        <w:t>9</w:t>
      </w:r>
      <w:r>
        <w:rPr>
          <w:rFonts w:cs="Times New Roman"/>
          <w:color w:val="000000" w:themeColor="text1"/>
        </w:rPr>
        <w:t>月，</w:t>
      </w:r>
      <w:r>
        <w:rPr>
          <w:rFonts w:cs="Times New Roman" w:hint="eastAsia"/>
          <w:color w:val="000000" w:themeColor="text1"/>
        </w:rPr>
        <w:t>在植株萌发到高</w:t>
      </w:r>
      <w:r>
        <w:rPr>
          <w:rFonts w:cs="Times New Roman"/>
          <w:color w:val="000000" w:themeColor="text1"/>
        </w:rPr>
        <w:t>40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cm</w:t>
      </w:r>
      <w:r>
        <w:rPr>
          <w:rFonts w:cs="Times New Roman" w:hint="eastAsia"/>
          <w:color w:val="000000" w:themeColor="text1"/>
        </w:rPr>
        <w:t>以上</w:t>
      </w:r>
      <w:r>
        <w:rPr>
          <w:rFonts w:cs="Times New Roman"/>
          <w:color w:val="000000" w:themeColor="text1"/>
        </w:rPr>
        <w:t>时进行施药治理。首次施药宜在扬花期</w:t>
      </w:r>
      <w:r>
        <w:rPr>
          <w:rFonts w:cs="Times New Roman" w:hint="eastAsia"/>
          <w:color w:val="000000" w:themeColor="text1"/>
        </w:rPr>
        <w:t>之</w:t>
      </w:r>
      <w:r>
        <w:rPr>
          <w:rFonts w:cs="Times New Roman"/>
          <w:color w:val="000000" w:themeColor="text1"/>
        </w:rPr>
        <w:t>前进行。</w:t>
      </w:r>
    </w:p>
    <w:p w:rsidR="00F44A2D" w:rsidRDefault="00772216">
      <w:pPr>
        <w:ind w:firstLine="562"/>
        <w:rPr>
          <w:rFonts w:cs="Times New Roman"/>
          <w:b/>
          <w:color w:val="000000" w:themeColor="text1"/>
        </w:rPr>
      </w:pPr>
      <w:r>
        <w:rPr>
          <w:rFonts w:cs="Times New Roman" w:hint="eastAsia"/>
          <w:b/>
          <w:color w:val="000000" w:themeColor="text1"/>
        </w:rPr>
        <w:t>作业要点：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1</w:t>
      </w:r>
      <w:r>
        <w:rPr>
          <w:rFonts w:cs="Times New Roman" w:hint="eastAsia"/>
          <w:color w:val="000000" w:themeColor="text1"/>
        </w:rPr>
        <w:t>）除草剂可</w:t>
      </w:r>
      <w:r>
        <w:rPr>
          <w:rFonts w:cs="Times New Roman"/>
          <w:color w:val="000000" w:themeColor="text1"/>
        </w:rPr>
        <w:t>选择</w:t>
      </w:r>
      <w:r>
        <w:rPr>
          <w:rFonts w:cs="Times New Roman"/>
          <w:color w:val="000000" w:themeColor="text1"/>
        </w:rPr>
        <w:t>25%</w:t>
      </w:r>
      <w:r>
        <w:rPr>
          <w:rFonts w:cs="Times New Roman"/>
          <w:color w:val="000000" w:themeColor="text1"/>
        </w:rPr>
        <w:t>咪唑烟酸水剂（</w:t>
      </w:r>
      <w:proofErr w:type="gramStart"/>
      <w:r>
        <w:rPr>
          <w:rFonts w:cs="Times New Roman"/>
          <w:color w:val="000000" w:themeColor="text1"/>
        </w:rPr>
        <w:t>抗米净</w:t>
      </w:r>
      <w:proofErr w:type="gramEnd"/>
      <w:r>
        <w:rPr>
          <w:rFonts w:cs="Times New Roman"/>
          <w:color w:val="000000" w:themeColor="text1"/>
        </w:rPr>
        <w:t>）或</w:t>
      </w:r>
      <w:r>
        <w:rPr>
          <w:rFonts w:cs="Times New Roman"/>
          <w:color w:val="000000" w:themeColor="text1"/>
        </w:rPr>
        <w:t>10.8%</w:t>
      </w:r>
      <w:r>
        <w:rPr>
          <w:rFonts w:cs="Times New Roman"/>
          <w:color w:val="000000" w:themeColor="text1"/>
        </w:rPr>
        <w:t>高效氟</w:t>
      </w:r>
      <w:proofErr w:type="gramStart"/>
      <w:r>
        <w:rPr>
          <w:rFonts w:cs="Times New Roman"/>
          <w:color w:val="000000" w:themeColor="text1"/>
        </w:rPr>
        <w:t>吡甲禾灵</w:t>
      </w:r>
      <w:proofErr w:type="gramEnd"/>
      <w:r>
        <w:rPr>
          <w:rFonts w:cs="Times New Roman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高效</w:t>
      </w:r>
      <w:r>
        <w:rPr>
          <w:rFonts w:cs="Times New Roman"/>
          <w:color w:val="000000" w:themeColor="text1"/>
        </w:rPr>
        <w:t>盖草能）</w:t>
      </w:r>
      <w:r>
        <w:rPr>
          <w:rFonts w:cs="Times New Roman" w:hint="eastAsia"/>
          <w:color w:val="000000" w:themeColor="text1"/>
        </w:rPr>
        <w:t>兑水</w:t>
      </w:r>
      <w:r>
        <w:rPr>
          <w:rFonts w:cs="Times New Roman"/>
          <w:color w:val="000000" w:themeColor="text1"/>
        </w:rPr>
        <w:t>稀释后</w:t>
      </w:r>
      <w:r>
        <w:rPr>
          <w:rFonts w:cs="Times New Roman" w:hint="eastAsia"/>
          <w:color w:val="000000" w:themeColor="text1"/>
        </w:rPr>
        <w:t>，通过植保</w:t>
      </w:r>
      <w:r>
        <w:rPr>
          <w:rFonts w:cs="Times New Roman"/>
          <w:color w:val="000000" w:themeColor="text1"/>
        </w:rPr>
        <w:t>无人机或人工</w:t>
      </w:r>
      <w:r>
        <w:rPr>
          <w:rFonts w:cs="Times New Roman" w:hint="eastAsia"/>
          <w:color w:val="000000" w:themeColor="text1"/>
        </w:rPr>
        <w:t>背负式</w:t>
      </w:r>
      <w:r>
        <w:rPr>
          <w:rFonts w:cs="Times New Roman"/>
          <w:color w:val="000000" w:themeColor="text1"/>
        </w:rPr>
        <w:t>喷</w:t>
      </w:r>
      <w:r>
        <w:rPr>
          <w:rFonts w:cs="Times New Roman"/>
        </w:rPr>
        <w:t>雾器</w:t>
      </w:r>
      <w:r>
        <w:rPr>
          <w:rFonts w:cs="Times New Roman" w:hint="eastAsia"/>
        </w:rPr>
        <w:t>进行</w:t>
      </w:r>
      <w:r>
        <w:rPr>
          <w:rFonts w:cs="Times New Roman"/>
        </w:rPr>
        <w:t>茎叶喷药</w:t>
      </w:r>
      <w:r>
        <w:rPr>
          <w:rFonts w:cs="Times New Roman" w:hint="eastAsia"/>
        </w:rPr>
        <w:t>。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/>
        </w:rPr>
        <w:t>（</w:t>
      </w:r>
      <w:r>
        <w:rPr>
          <w:rFonts w:cs="Times New Roman" w:hint="eastAsia"/>
        </w:rPr>
        <w:t>2</w:t>
      </w:r>
      <w:r>
        <w:rPr>
          <w:rFonts w:cs="Times New Roman"/>
        </w:rPr>
        <w:t>）</w:t>
      </w:r>
      <w:r>
        <w:rPr>
          <w:rFonts w:cs="Times New Roman"/>
        </w:rPr>
        <w:t>25%</w:t>
      </w:r>
      <w:r>
        <w:rPr>
          <w:rFonts w:cs="Times New Roman"/>
        </w:rPr>
        <w:t>咪唑烟酸水剂制剂</w:t>
      </w:r>
      <w:r>
        <w:rPr>
          <w:rFonts w:cs="Times New Roman" w:hint="eastAsia"/>
        </w:rPr>
        <w:t>一次施药</w:t>
      </w:r>
      <w:r>
        <w:rPr>
          <w:rFonts w:cs="Times New Roman"/>
        </w:rPr>
        <w:t>用量为</w:t>
      </w:r>
      <w:r>
        <w:rPr>
          <w:rFonts w:cs="Times New Roman"/>
        </w:rPr>
        <w:t>1</w:t>
      </w:r>
      <w:r>
        <w:rPr>
          <w:rFonts w:cs="Times New Roman" w:hint="eastAsia"/>
        </w:rPr>
        <w:t>000</w:t>
      </w:r>
      <w:r>
        <w:rPr>
          <w:rFonts w:cs="Times New Roman"/>
        </w:rPr>
        <w:t>~</w:t>
      </w:r>
      <w:r>
        <w:rPr>
          <w:rFonts w:cs="Times New Roman" w:hint="eastAsia"/>
        </w:rPr>
        <w:t>1500m</w:t>
      </w:r>
      <w:r>
        <w:rPr>
          <w:rFonts w:cs="Times New Roman"/>
        </w:rPr>
        <w:t>L/</w:t>
      </w:r>
      <w:r>
        <w:rPr>
          <w:rFonts w:cs="Times New Roman"/>
        </w:rPr>
        <w:t>亩，通常采用植保无人机施药</w:t>
      </w:r>
      <w:r>
        <w:rPr>
          <w:rFonts w:cs="Times New Roman" w:hint="eastAsia"/>
        </w:rPr>
        <w:t>，一般一个生长季内至少施药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次，施药后可根据互花米草的药效情况适当补药。每次施药应</w:t>
      </w:r>
      <w:r>
        <w:rPr>
          <w:rFonts w:cs="Times New Roman"/>
        </w:rPr>
        <w:t>依据当地互花米草生长情况科学调整兑水量，</w:t>
      </w:r>
      <w:r>
        <w:rPr>
          <w:rFonts w:cs="Times New Roman" w:hint="eastAsia"/>
        </w:rPr>
        <w:t>一般情况下，</w:t>
      </w:r>
      <w:r>
        <w:rPr>
          <w:rFonts w:cs="Times New Roman"/>
        </w:rPr>
        <w:t>兑水</w:t>
      </w:r>
      <w:r>
        <w:rPr>
          <w:rFonts w:cs="Times New Roman"/>
        </w:rPr>
        <w:t>40~</w:t>
      </w:r>
      <w:r>
        <w:rPr>
          <w:rFonts w:cs="Times New Roman" w:hint="eastAsia"/>
        </w:rPr>
        <w:t>8</w:t>
      </w:r>
      <w:r>
        <w:rPr>
          <w:rFonts w:cs="Times New Roman"/>
        </w:rPr>
        <w:t>0</w:t>
      </w:r>
      <w:r>
        <w:rPr>
          <w:rFonts w:cs="Times New Roman" w:hint="eastAsia"/>
        </w:rPr>
        <w:t xml:space="preserve"> kg/</w:t>
      </w:r>
      <w:r>
        <w:rPr>
          <w:rFonts w:cs="Times New Roman" w:hint="eastAsia"/>
        </w:rPr>
        <w:t>亩。助剂主要为乳化剂、展着剂和着色剂，选用绿色安全环保产品。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>
        <w:rPr>
          <w:rFonts w:cs="Times New Roman"/>
        </w:rPr>
        <w:t>10.8%</w:t>
      </w:r>
      <w:r>
        <w:rPr>
          <w:rFonts w:cs="Times New Roman"/>
        </w:rPr>
        <w:t>高效氟</w:t>
      </w:r>
      <w:proofErr w:type="gramStart"/>
      <w:r>
        <w:rPr>
          <w:rFonts w:cs="Times New Roman"/>
        </w:rPr>
        <w:t>吡甲禾灵</w:t>
      </w:r>
      <w:proofErr w:type="gramEnd"/>
      <w:r>
        <w:rPr>
          <w:rFonts w:cs="Times New Roman"/>
        </w:rPr>
        <w:t>制剂</w:t>
      </w:r>
      <w:r>
        <w:rPr>
          <w:rFonts w:cs="Times New Roman" w:hint="eastAsia"/>
        </w:rPr>
        <w:t>一次施药</w:t>
      </w:r>
      <w:r>
        <w:rPr>
          <w:rFonts w:cs="Times New Roman"/>
        </w:rPr>
        <w:t>用量为</w:t>
      </w:r>
      <w:r>
        <w:rPr>
          <w:rFonts w:cs="Times New Roman"/>
        </w:rPr>
        <w:t>120~180</w:t>
      </w:r>
      <w:r>
        <w:rPr>
          <w:rFonts w:cs="Times New Roman" w:hint="eastAsia"/>
        </w:rPr>
        <w:t xml:space="preserve"> </w:t>
      </w:r>
      <w:proofErr w:type="spellStart"/>
      <w:r>
        <w:rPr>
          <w:rFonts w:cs="Times New Roman"/>
        </w:rPr>
        <w:t>mL</w:t>
      </w:r>
      <w:proofErr w:type="spellEnd"/>
      <w:r>
        <w:rPr>
          <w:rFonts w:cs="Times New Roman"/>
        </w:rPr>
        <w:t>/</w:t>
      </w:r>
      <w:r>
        <w:rPr>
          <w:rFonts w:cs="Times New Roman"/>
        </w:rPr>
        <w:t>亩，</w:t>
      </w:r>
      <w:r>
        <w:rPr>
          <w:rFonts w:cs="Times New Roman"/>
        </w:rPr>
        <w:lastRenderedPageBreak/>
        <w:t>通常采用植保无人机施药</w:t>
      </w:r>
      <w:r>
        <w:rPr>
          <w:rFonts w:cs="Times New Roman" w:hint="eastAsia"/>
        </w:rPr>
        <w:t>，一般一个生长季内至少施药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次，每次施药后可根据互花米草的药效情况适当补药。每次施药应</w:t>
      </w:r>
      <w:r>
        <w:rPr>
          <w:rFonts w:cs="Times New Roman"/>
        </w:rPr>
        <w:t>依据当地互花米草生长情况科学调整兑水量，</w:t>
      </w:r>
      <w:r>
        <w:rPr>
          <w:rFonts w:cs="Times New Roman" w:hint="eastAsia"/>
        </w:rPr>
        <w:t>一般情况下，无人机施药兑水</w:t>
      </w:r>
      <w:r>
        <w:rPr>
          <w:rFonts w:cs="Times New Roman" w:hint="eastAsia"/>
        </w:rPr>
        <w:t>1~2kg/</w:t>
      </w:r>
      <w:r>
        <w:rPr>
          <w:rFonts w:cs="Times New Roman" w:hint="eastAsia"/>
        </w:rPr>
        <w:t>亩，并加入有机硅类等展布剂，增加植物叶片上药液的接触量。若采用人工背负式喷雾器施药宜兑水</w:t>
      </w:r>
      <w:r>
        <w:rPr>
          <w:rFonts w:cs="Times New Roman" w:hint="eastAsia"/>
        </w:rPr>
        <w:t>30~45 kg/</w:t>
      </w:r>
      <w:r>
        <w:rPr>
          <w:rFonts w:cs="Times New Roman" w:hint="eastAsia"/>
        </w:rPr>
        <w:t>亩。</w:t>
      </w:r>
    </w:p>
    <w:p w:rsidR="00F44A2D" w:rsidRDefault="00772216">
      <w:pPr>
        <w:ind w:firstLine="56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4</w:t>
      </w:r>
      <w:r>
        <w:rPr>
          <w:rFonts w:cs="Times New Roman" w:hint="eastAsia"/>
          <w:color w:val="000000" w:themeColor="text1"/>
        </w:rPr>
        <w:t>）</w:t>
      </w:r>
      <w:r>
        <w:rPr>
          <w:rFonts w:cs="Times New Roman"/>
          <w:color w:val="000000" w:themeColor="text1"/>
        </w:rPr>
        <w:t>对于低矮型互花米草，稀释后喷液量</w:t>
      </w:r>
      <w:r>
        <w:rPr>
          <w:rFonts w:cs="Times New Roman" w:hint="eastAsia"/>
          <w:color w:val="000000" w:themeColor="text1"/>
        </w:rPr>
        <w:t>可</w:t>
      </w:r>
      <w:r>
        <w:rPr>
          <w:rFonts w:cs="Times New Roman"/>
          <w:color w:val="000000" w:themeColor="text1"/>
        </w:rPr>
        <w:t>适当减少，对于高大型互花米草，喷液量</w:t>
      </w:r>
      <w:r>
        <w:rPr>
          <w:rFonts w:cs="Times New Roman" w:hint="eastAsia"/>
          <w:color w:val="000000" w:themeColor="text1"/>
        </w:rPr>
        <w:t>宜</w:t>
      </w:r>
      <w:r>
        <w:rPr>
          <w:rFonts w:cs="Times New Roman"/>
          <w:color w:val="000000" w:themeColor="text1"/>
        </w:rPr>
        <w:t>适当增加</w:t>
      </w:r>
      <w:r>
        <w:rPr>
          <w:rFonts w:cs="Times New Roman" w:hint="eastAsia"/>
          <w:color w:val="000000" w:themeColor="text1"/>
        </w:rPr>
        <w:t>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）选用植保无人机施药应选择性能稳定的植保机，应根据不同</w:t>
      </w:r>
      <w:proofErr w:type="gramStart"/>
      <w:r>
        <w:rPr>
          <w:rFonts w:hint="eastAsia"/>
        </w:rPr>
        <w:t>植保机</w:t>
      </w:r>
      <w:proofErr w:type="gramEnd"/>
      <w:r>
        <w:rPr>
          <w:rFonts w:hint="eastAsia"/>
        </w:rPr>
        <w:t>性能参数及天气情况（风向、风速）设置适宜的作业参数，包括飞行高度、飞行速度、喷幅、行间距等，针对不同的区块特点设定适宜的飞行轨迹，确保不会漏喷。</w:t>
      </w:r>
    </w:p>
    <w:p w:rsidR="00F44A2D" w:rsidRDefault="00772216">
      <w:pPr>
        <w:ind w:firstLine="560"/>
        <w:rPr>
          <w:rFonts w:cs="Times New Roman"/>
          <w:color w:val="000000" w:themeColor="text1"/>
        </w:rPr>
      </w:pPr>
      <w:r>
        <w:t>（</w:t>
      </w:r>
      <w:r>
        <w:rPr>
          <w:rFonts w:hint="eastAsia"/>
        </w:rPr>
        <w:t>6</w:t>
      </w:r>
      <w:r>
        <w:t>）</w:t>
      </w:r>
      <w:r>
        <w:rPr>
          <w:rFonts w:cs="Times New Roman"/>
          <w:color w:val="000000" w:themeColor="text1"/>
        </w:rPr>
        <w:t>喷雾后</w:t>
      </w:r>
      <w:r>
        <w:rPr>
          <w:rFonts w:cs="Times New Roman"/>
          <w:color w:val="000000" w:themeColor="text1"/>
        </w:rPr>
        <w:t>6</w:t>
      </w:r>
      <w:r>
        <w:rPr>
          <w:rFonts w:cs="Times New Roman" w:hint="eastAsia"/>
          <w:color w:val="000000" w:themeColor="text1"/>
        </w:rPr>
        <w:t>小时</w:t>
      </w:r>
      <w:r>
        <w:rPr>
          <w:rFonts w:cs="Times New Roman"/>
          <w:color w:val="000000" w:themeColor="text1"/>
        </w:rPr>
        <w:t>内应避免潮水和降水干扰</w:t>
      </w:r>
      <w:r>
        <w:rPr>
          <w:rFonts w:cs="Times New Roman" w:hint="eastAsia"/>
          <w:color w:val="000000" w:themeColor="text1"/>
        </w:rPr>
        <w:t>。</w:t>
      </w:r>
      <w:r>
        <w:t>降雨期间或降雨后</w:t>
      </w:r>
      <w:r>
        <w:t>2</w:t>
      </w:r>
      <w:r>
        <w:rPr>
          <w:rFonts w:hint="eastAsia"/>
        </w:rPr>
        <w:t>小时</w:t>
      </w:r>
      <w:r>
        <w:t>内不可施药；作业后</w:t>
      </w:r>
      <w:r>
        <w:t>2</w:t>
      </w:r>
      <w:r>
        <w:rPr>
          <w:rFonts w:hint="eastAsia"/>
        </w:rPr>
        <w:t>小时</w:t>
      </w:r>
      <w:r>
        <w:t>内如遇降雨，建议进行补喷。</w:t>
      </w:r>
    </w:p>
    <w:p w:rsidR="00F44A2D" w:rsidRDefault="00772216">
      <w:pPr>
        <w:pStyle w:val="3"/>
      </w:pPr>
      <w:bookmarkStart w:id="118" w:name="_Toc30847"/>
      <w:bookmarkStart w:id="119" w:name="_Toc2385"/>
      <w:bookmarkStart w:id="120" w:name="_Toc138602669"/>
      <w:bookmarkStart w:id="121" w:name="_Toc18952"/>
      <w:bookmarkStart w:id="122" w:name="_Toc2349"/>
      <w:bookmarkStart w:id="123" w:name="_Toc140565529"/>
      <w:bookmarkStart w:id="124" w:name="_Toc27315"/>
      <w:r>
        <w:rPr>
          <w:rFonts w:hint="eastAsia"/>
        </w:rPr>
        <w:t>注意事项</w:t>
      </w:r>
      <w:bookmarkEnd w:id="118"/>
      <w:bookmarkEnd w:id="119"/>
      <w:bookmarkEnd w:id="120"/>
      <w:bookmarkEnd w:id="121"/>
      <w:bookmarkEnd w:id="122"/>
      <w:bookmarkEnd w:id="123"/>
      <w:bookmarkEnd w:id="124"/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）要求互花米草新萌发植株</w:t>
      </w:r>
      <w:r>
        <w:t>高度高于前一年枯萎倒伏的</w:t>
      </w:r>
      <w:r>
        <w:rPr>
          <w:rFonts w:hint="eastAsia"/>
        </w:rPr>
        <w:t>凋落</w:t>
      </w:r>
      <w:r>
        <w:t>物</w:t>
      </w:r>
      <w:r>
        <w:rPr>
          <w:rFonts w:hint="eastAsia"/>
        </w:rPr>
        <w:t>，施药前尽量清除遮掩生长植株的凋落物。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）治理时</w:t>
      </w:r>
      <w:r>
        <w:t>应喷雾均匀，确保治理区内所有互花米草活体植株均被喷到</w:t>
      </w:r>
      <w:r>
        <w:rPr>
          <w:rFonts w:hint="eastAsia"/>
        </w:rPr>
        <w:t>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）喷药后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天检查防效，如叶片未发黄枯萎，</w:t>
      </w:r>
      <w:r>
        <w:t>可根据情况对残留活体植株进行补充喷雾</w:t>
      </w:r>
      <w:r>
        <w:rPr>
          <w:rFonts w:hint="eastAsia"/>
        </w:rPr>
        <w:t>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）喷药作业时应该注意风向、风速，现场风力达</w:t>
      </w:r>
      <w:r>
        <w:t>5</w:t>
      </w:r>
      <w:r>
        <w:t>级时应停止喷药</w:t>
      </w:r>
      <w:r>
        <w:rPr>
          <w:rFonts w:hint="eastAsia"/>
        </w:rPr>
        <w:t>。避免烈日高温下施药。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</w:t>
      </w:r>
      <w:r>
        <w:t>25%</w:t>
      </w:r>
      <w:r>
        <w:t>咪唑烟酸水剂（</w:t>
      </w:r>
      <w:proofErr w:type="gramStart"/>
      <w:r>
        <w:t>抗米净</w:t>
      </w:r>
      <w:proofErr w:type="gramEnd"/>
      <w:r>
        <w:t>）</w:t>
      </w:r>
      <w:r>
        <w:rPr>
          <w:rFonts w:hint="eastAsia"/>
        </w:rPr>
        <w:t>为</w:t>
      </w:r>
      <w:r>
        <w:t>广谱性除草剂，对禾本科、莎草科、阔叶杂草均有明显的抑制作用</w:t>
      </w:r>
      <w:r>
        <w:rPr>
          <w:rFonts w:hint="eastAsia"/>
        </w:rPr>
        <w:t>；</w:t>
      </w:r>
      <w:r>
        <w:t>10.8%</w:t>
      </w:r>
      <w:r>
        <w:t>高效氟</w:t>
      </w:r>
      <w:proofErr w:type="gramStart"/>
      <w:r>
        <w:t>吡甲禾灵</w:t>
      </w:r>
      <w:proofErr w:type="gramEnd"/>
      <w:r>
        <w:t>（</w:t>
      </w:r>
      <w:r>
        <w:rPr>
          <w:rFonts w:hint="eastAsia"/>
        </w:rPr>
        <w:t>高效</w:t>
      </w:r>
      <w:r>
        <w:t>盖草能）为禾本科广谱性除草剂</w:t>
      </w:r>
      <w:r>
        <w:rPr>
          <w:rFonts w:hint="eastAsia"/>
        </w:rPr>
        <w:t>，对禾本科作物敏感，对海三棱藨草无影响。因此施药时应避免药剂飘移至非靶标植物，以防产生药害，建议在有海三棱藨草分布的区域采用高效盖草能治理互花米草。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）大面积施药时应分片分区，错峰间隔施药，降低环境风险。</w:t>
      </w:r>
    </w:p>
    <w:p w:rsidR="00F44A2D" w:rsidRDefault="00772216">
      <w:pPr>
        <w:ind w:firstLine="560"/>
      </w:pPr>
      <w:r>
        <w:rPr>
          <w:rFonts w:hint="eastAsia"/>
        </w:rPr>
        <w:lastRenderedPageBreak/>
        <w:t>（</w:t>
      </w:r>
      <w:r>
        <w:t>7</w:t>
      </w:r>
      <w:r>
        <w:rPr>
          <w:rFonts w:hint="eastAsia"/>
        </w:rPr>
        <w:t>）应按《农药安全使用规范</w:t>
      </w:r>
      <w:r>
        <w:rPr>
          <w:rFonts w:hint="eastAsia"/>
        </w:rPr>
        <w:t xml:space="preserve"> </w:t>
      </w:r>
      <w:r>
        <w:rPr>
          <w:rFonts w:hint="eastAsia"/>
        </w:rPr>
        <w:t>总则》（</w:t>
      </w:r>
      <w:r>
        <w:t>NY/T 1276</w:t>
      </w:r>
      <w:r>
        <w:rPr>
          <w:rFonts w:hint="eastAsia"/>
        </w:rPr>
        <w:t>）的</w:t>
      </w:r>
      <w:r>
        <w:t>规定，做好药剂使用过程中的安全防护。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）在生态红线、保护区、水源地等生态敏感区以及周边有农田、水产养殖区慎用此法。实施前科学论证评估，实施中加强监管监督，实施后长期跟踪监测评估。</w:t>
      </w:r>
    </w:p>
    <w:p w:rsidR="00F44A2D" w:rsidRDefault="00772216">
      <w:pPr>
        <w:pStyle w:val="ae"/>
      </w:pPr>
      <w:r>
        <w:rPr>
          <w:noProof/>
        </w:rPr>
        <w:drawing>
          <wp:inline distT="0" distB="0" distL="114300" distR="114300">
            <wp:extent cx="4968240" cy="1767840"/>
            <wp:effectExtent l="0" t="0" r="10160" b="1016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2D" w:rsidRDefault="00772216">
      <w:pPr>
        <w:pStyle w:val="af"/>
      </w:pPr>
      <w:r>
        <w:rPr>
          <w:rFonts w:hint="eastAsia"/>
        </w:rPr>
        <w:t>图</w:t>
      </w:r>
      <w:r>
        <w:rPr>
          <w:rFonts w:hint="eastAsia"/>
        </w:rPr>
        <w:t xml:space="preserve">7 </w:t>
      </w:r>
      <w:r>
        <w:rPr>
          <w:rFonts w:hint="eastAsia"/>
        </w:rPr>
        <w:t>药剂除治</w:t>
      </w:r>
    </w:p>
    <w:p w:rsidR="00F44A2D" w:rsidRDefault="00772216">
      <w:pPr>
        <w:pStyle w:val="1"/>
      </w:pPr>
      <w:bookmarkStart w:id="125" w:name="_Toc15253"/>
      <w:bookmarkStart w:id="126" w:name="_Toc140565535"/>
      <w:bookmarkStart w:id="127" w:name="_Toc6526"/>
      <w:bookmarkStart w:id="128" w:name="_Toc3560"/>
      <w:bookmarkStart w:id="129" w:name="_Toc8025"/>
      <w:bookmarkStart w:id="130" w:name="_Toc21839"/>
      <w:r>
        <w:rPr>
          <w:rFonts w:hint="eastAsia"/>
        </w:rPr>
        <w:t>监测与评估</w:t>
      </w:r>
      <w:bookmarkEnd w:id="125"/>
      <w:bookmarkEnd w:id="126"/>
      <w:bookmarkEnd w:id="127"/>
      <w:bookmarkEnd w:id="128"/>
      <w:bookmarkEnd w:id="129"/>
      <w:bookmarkEnd w:id="130"/>
    </w:p>
    <w:p w:rsidR="00F44A2D" w:rsidRDefault="00772216">
      <w:pPr>
        <w:ind w:firstLine="560"/>
        <w:rPr>
          <w:rFonts w:cs="Times New Roman"/>
        </w:rPr>
      </w:pPr>
      <w:r>
        <w:rPr>
          <w:rFonts w:hint="eastAsia"/>
          <w:color w:val="000000" w:themeColor="text1"/>
        </w:rPr>
        <w:t>对于药剂治理或大</w:t>
      </w:r>
      <w:r>
        <w:rPr>
          <w:rFonts w:hint="eastAsia"/>
        </w:rPr>
        <w:t>规模（</w:t>
      </w:r>
      <w:r>
        <w:rPr>
          <w:rFonts w:hint="eastAsia"/>
        </w:rPr>
        <w:t>100 ha</w:t>
      </w:r>
      <w:r>
        <w:rPr>
          <w:rFonts w:hint="eastAsia"/>
        </w:rPr>
        <w:t>以上）物理治理项目，除生态敏感区、自然保护区等需设置专项监测外，</w:t>
      </w:r>
      <w:r>
        <w:rPr>
          <w:rFonts w:cs="Times New Roman"/>
        </w:rPr>
        <w:t>为客观评估互花米草</w:t>
      </w:r>
      <w:r>
        <w:rPr>
          <w:rFonts w:cs="Times New Roman" w:hint="eastAsia"/>
        </w:rPr>
        <w:t>的</w:t>
      </w:r>
      <w:r>
        <w:rPr>
          <w:rFonts w:cs="Times New Roman"/>
        </w:rPr>
        <w:t>治理效果以及对区域生态环境的影响程度</w:t>
      </w:r>
      <w:r>
        <w:rPr>
          <w:rFonts w:cs="Times New Roman" w:hint="eastAsia"/>
        </w:rPr>
        <w:t>，</w:t>
      </w:r>
      <w:r>
        <w:rPr>
          <w:rFonts w:cs="Times New Roman"/>
        </w:rPr>
        <w:t>需委托专业</w:t>
      </w:r>
      <w:r>
        <w:rPr>
          <w:rFonts w:cs="Times New Roman" w:hint="eastAsia"/>
        </w:rPr>
        <w:t>第三方机构</w:t>
      </w:r>
      <w:r>
        <w:rPr>
          <w:rFonts w:cs="Times New Roman"/>
        </w:rPr>
        <w:t>进行</w:t>
      </w:r>
      <w:r>
        <w:rPr>
          <w:rFonts w:cs="Times New Roman" w:hint="eastAsia"/>
        </w:rPr>
        <w:t>治理</w:t>
      </w:r>
      <w:r>
        <w:rPr>
          <w:rFonts w:cs="Times New Roman"/>
        </w:rPr>
        <w:t>前</w:t>
      </w:r>
      <w:r>
        <w:rPr>
          <w:rFonts w:cs="Times New Roman" w:hint="eastAsia"/>
        </w:rPr>
        <w:t>、中、</w:t>
      </w:r>
      <w:r>
        <w:rPr>
          <w:rFonts w:cs="Times New Roman"/>
        </w:rPr>
        <w:t>后</w:t>
      </w:r>
      <w:r>
        <w:rPr>
          <w:rFonts w:cs="Times New Roman" w:hint="eastAsia"/>
        </w:rPr>
        <w:t>期的跟踪</w:t>
      </w:r>
      <w:r>
        <w:rPr>
          <w:rFonts w:cs="Times New Roman"/>
        </w:rPr>
        <w:t>监测。</w:t>
      </w:r>
    </w:p>
    <w:p w:rsidR="00F44A2D" w:rsidRDefault="00772216">
      <w:pPr>
        <w:pStyle w:val="2"/>
      </w:pPr>
      <w:bookmarkStart w:id="131" w:name="_Toc138602678"/>
      <w:bookmarkStart w:id="132" w:name="_Toc140565537"/>
      <w:bookmarkStart w:id="133" w:name="_Toc8610"/>
      <w:bookmarkStart w:id="134" w:name="_Toc9001"/>
      <w:bookmarkStart w:id="135" w:name="_Toc15846"/>
      <w:bookmarkStart w:id="136" w:name="_Toc6628"/>
      <w:bookmarkStart w:id="137" w:name="_Toc26396"/>
      <w:bookmarkStart w:id="138" w:name="_Toc138602677"/>
      <w:r>
        <w:rPr>
          <w:rFonts w:hint="eastAsia"/>
        </w:rPr>
        <w:t>监测内容</w:t>
      </w:r>
      <w:bookmarkEnd w:id="131"/>
      <w:r>
        <w:rPr>
          <w:rFonts w:hint="eastAsia"/>
        </w:rPr>
        <w:t>及频率</w:t>
      </w:r>
      <w:bookmarkEnd w:id="132"/>
      <w:bookmarkEnd w:id="133"/>
      <w:bookmarkEnd w:id="134"/>
      <w:bookmarkEnd w:id="135"/>
      <w:bookmarkEnd w:id="136"/>
      <w:bookmarkEnd w:id="137"/>
    </w:p>
    <w:p w:rsidR="00F44A2D" w:rsidRDefault="00772216">
      <w:pPr>
        <w:pStyle w:val="3"/>
      </w:pPr>
      <w:bookmarkStart w:id="139" w:name="_Toc1744"/>
      <w:bookmarkStart w:id="140" w:name="_Toc140565538"/>
      <w:bookmarkStart w:id="141" w:name="_Toc32254"/>
      <w:bookmarkStart w:id="142" w:name="_Toc17208"/>
      <w:bookmarkStart w:id="143" w:name="_Toc2664"/>
      <w:bookmarkStart w:id="144" w:name="_Toc1540"/>
      <w:r>
        <w:rPr>
          <w:rFonts w:hint="eastAsia"/>
        </w:rPr>
        <w:t>工程实施单位</w:t>
      </w:r>
      <w:bookmarkEnd w:id="139"/>
      <w:bookmarkEnd w:id="140"/>
      <w:bookmarkEnd w:id="141"/>
      <w:bookmarkEnd w:id="142"/>
      <w:bookmarkEnd w:id="143"/>
      <w:bookmarkEnd w:id="144"/>
    </w:p>
    <w:p w:rsidR="00F44A2D" w:rsidRDefault="00772216">
      <w:pPr>
        <w:ind w:firstLine="560"/>
      </w:pPr>
      <w:r>
        <w:rPr>
          <w:rFonts w:hint="eastAsia"/>
        </w:rPr>
        <w:t>工程实施单位在施工前应做好环境本底数据的调查，包括地形、高程、水文以及互花米草及其他植被分布状况等。</w:t>
      </w:r>
    </w:p>
    <w:p w:rsidR="00F44A2D" w:rsidRDefault="00772216">
      <w:pPr>
        <w:pStyle w:val="3"/>
      </w:pPr>
      <w:bookmarkStart w:id="145" w:name="_Toc9103"/>
      <w:bookmarkStart w:id="146" w:name="_Toc140565539"/>
      <w:bookmarkStart w:id="147" w:name="_Toc9248"/>
      <w:bookmarkStart w:id="148" w:name="_Toc8866"/>
      <w:bookmarkStart w:id="149" w:name="_Toc9939"/>
      <w:bookmarkStart w:id="150" w:name="_Toc4304"/>
      <w:r>
        <w:rPr>
          <w:rFonts w:hint="eastAsia"/>
        </w:rPr>
        <w:t>第三方监测</w:t>
      </w:r>
      <w:bookmarkEnd w:id="145"/>
      <w:bookmarkEnd w:id="146"/>
      <w:bookmarkEnd w:id="147"/>
      <w:bookmarkEnd w:id="148"/>
      <w:bookmarkEnd w:id="149"/>
      <w:bookmarkEnd w:id="150"/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 w:hint="eastAsia"/>
          <w:b/>
        </w:rPr>
        <w:t>（</w:t>
      </w:r>
      <w:r>
        <w:rPr>
          <w:rFonts w:cs="Times New Roman" w:hint="eastAsia"/>
          <w:b/>
        </w:rPr>
        <w:t>1</w:t>
      </w:r>
      <w:r>
        <w:rPr>
          <w:rFonts w:cs="Times New Roman" w:hint="eastAsia"/>
          <w:b/>
        </w:rPr>
        <w:t>）物理治理项目</w:t>
      </w:r>
    </w:p>
    <w:p w:rsidR="00F44A2D" w:rsidRDefault="00772216">
      <w:pPr>
        <w:ind w:firstLine="560"/>
      </w:pPr>
      <w:r>
        <w:rPr>
          <w:rFonts w:hint="eastAsia"/>
        </w:rPr>
        <w:t>施工前：互花米草及其他土著植物分布，底栖生物和鸟类等潮间带生物的多度和多样性等本底数据。</w:t>
      </w:r>
    </w:p>
    <w:p w:rsidR="00F44A2D" w:rsidRDefault="00772216">
      <w:pPr>
        <w:ind w:firstLine="560"/>
      </w:pPr>
      <w:r>
        <w:rPr>
          <w:rFonts w:hint="eastAsia"/>
        </w:rPr>
        <w:t>施工期：互花米草清除率和复发率等。</w:t>
      </w:r>
    </w:p>
    <w:p w:rsidR="00F44A2D" w:rsidRDefault="00772216">
      <w:pPr>
        <w:ind w:firstLine="560"/>
      </w:pPr>
      <w:r>
        <w:rPr>
          <w:rFonts w:hint="eastAsia"/>
        </w:rPr>
        <w:lastRenderedPageBreak/>
        <w:t>质保期：互花米草清除率和复发率，土著植物种群分布，底栖生物和鸟类等生物种群的变化情况。</w:t>
      </w:r>
    </w:p>
    <w:p w:rsidR="00F44A2D" w:rsidRDefault="00772216">
      <w:pPr>
        <w:ind w:firstLine="560"/>
      </w:pPr>
      <w:r>
        <w:rPr>
          <w:rFonts w:hint="eastAsia"/>
        </w:rPr>
        <w:t>长效维护期：互花米草二次入侵情况、</w:t>
      </w:r>
      <w:r>
        <w:rPr>
          <w:rFonts w:cs="Times New Roman" w:hint="eastAsia"/>
        </w:rPr>
        <w:t>乡土替代植物</w:t>
      </w:r>
      <w:r>
        <w:rPr>
          <w:rFonts w:hint="eastAsia"/>
        </w:rPr>
        <w:t>成活率情况等。</w:t>
      </w:r>
    </w:p>
    <w:p w:rsidR="00F44A2D" w:rsidRDefault="00772216">
      <w:pPr>
        <w:ind w:firstLine="562"/>
        <w:rPr>
          <w:rFonts w:cs="Times New Roman"/>
          <w:b/>
        </w:rPr>
      </w:pPr>
      <w:r>
        <w:rPr>
          <w:rFonts w:cs="Times New Roman" w:hint="eastAsia"/>
          <w:b/>
        </w:rPr>
        <w:t>（</w:t>
      </w:r>
      <w:r>
        <w:rPr>
          <w:rFonts w:cs="Times New Roman" w:hint="eastAsia"/>
          <w:b/>
        </w:rPr>
        <w:t>2</w:t>
      </w:r>
      <w:r>
        <w:rPr>
          <w:rFonts w:cs="Times New Roman" w:hint="eastAsia"/>
          <w:b/>
        </w:rPr>
        <w:t>）药剂治理项目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施工前：互花米草及其他土著植物分布，底栖生物和鸟类等生物的多度和多样性等本底数据。</w:t>
      </w:r>
    </w:p>
    <w:p w:rsidR="00F44A2D" w:rsidRDefault="00772216">
      <w:pPr>
        <w:ind w:firstLine="560"/>
        <w:rPr>
          <w:rFonts w:cs="Times New Roman"/>
        </w:rPr>
      </w:pPr>
      <w:r>
        <w:rPr>
          <w:rFonts w:cs="Times New Roman" w:hint="eastAsia"/>
        </w:rPr>
        <w:t>施工期：互花米草清除率和复发率，施药后的土壤和水体中的药剂残留动态。</w:t>
      </w:r>
    </w:p>
    <w:p w:rsidR="00F44A2D" w:rsidRDefault="00772216">
      <w:pPr>
        <w:ind w:firstLine="560"/>
        <w:rPr>
          <w:rFonts w:cs="Times New Roman"/>
        </w:rPr>
      </w:pPr>
      <w:r>
        <w:rPr>
          <w:rFonts w:hint="eastAsia"/>
        </w:rPr>
        <w:t>质保期</w:t>
      </w:r>
      <w:r>
        <w:rPr>
          <w:rFonts w:cs="Times New Roman" w:hint="eastAsia"/>
        </w:rPr>
        <w:t>：互花米草清除率，土著植物分布，底栖生物和鸟类等生物种群的多度和多样性等。</w:t>
      </w:r>
    </w:p>
    <w:p w:rsidR="00F44A2D" w:rsidRDefault="00772216">
      <w:pPr>
        <w:ind w:firstLine="560"/>
        <w:rPr>
          <w:rFonts w:cs="Times New Roman"/>
        </w:rPr>
      </w:pPr>
      <w:r>
        <w:rPr>
          <w:rFonts w:hint="eastAsia"/>
        </w:rPr>
        <w:t>长效维护</w:t>
      </w:r>
      <w:r>
        <w:rPr>
          <w:rFonts w:cs="Times New Roman" w:hint="eastAsia"/>
        </w:rPr>
        <w:t>期：互花米草二次入侵情况、乡土替代植物成活率情况等。</w:t>
      </w:r>
    </w:p>
    <w:p w:rsidR="00F44A2D" w:rsidRDefault="00772216">
      <w:pPr>
        <w:pStyle w:val="2"/>
      </w:pPr>
      <w:bookmarkStart w:id="151" w:name="_Toc4190"/>
      <w:bookmarkStart w:id="152" w:name="_Toc18866"/>
      <w:bookmarkStart w:id="153" w:name="_Toc7325"/>
      <w:bookmarkStart w:id="154" w:name="_Toc140565540"/>
      <w:bookmarkStart w:id="155" w:name="_Toc138602679"/>
      <w:bookmarkStart w:id="156" w:name="_Toc21194"/>
      <w:bookmarkStart w:id="157" w:name="_Toc19598"/>
      <w:bookmarkEnd w:id="138"/>
      <w:r>
        <w:rPr>
          <w:rFonts w:hint="eastAsia"/>
        </w:rPr>
        <w:t>监测指标与方法</w:t>
      </w:r>
      <w:bookmarkEnd w:id="151"/>
      <w:bookmarkEnd w:id="152"/>
      <w:bookmarkEnd w:id="153"/>
      <w:bookmarkEnd w:id="154"/>
      <w:bookmarkEnd w:id="155"/>
      <w:bookmarkEnd w:id="156"/>
      <w:bookmarkEnd w:id="157"/>
    </w:p>
    <w:p w:rsidR="00F44A2D" w:rsidRDefault="00772216">
      <w:pPr>
        <w:ind w:firstLine="560"/>
      </w:pPr>
      <w:r>
        <w:rPr>
          <w:rFonts w:hint="eastAsia"/>
        </w:rPr>
        <w:t>监测指标包括互花米草和其他植被、底栖生物、鸟类、底质环境以及环境残留等。其中，规定性监测指标为互花米草监测、底栖生物监测及环境残留监测，其余指标均为指导性监测指标。</w:t>
      </w:r>
    </w:p>
    <w:p w:rsidR="00F44A2D" w:rsidRDefault="00772216">
      <w:pPr>
        <w:pStyle w:val="3"/>
      </w:pPr>
      <w:bookmarkStart w:id="158" w:name="_Toc3296"/>
      <w:bookmarkStart w:id="159" w:name="_Toc18716"/>
      <w:bookmarkStart w:id="160" w:name="_Toc9908"/>
      <w:bookmarkStart w:id="161" w:name="_Toc16079"/>
      <w:bookmarkStart w:id="162" w:name="_Toc21706"/>
      <w:bookmarkStart w:id="163" w:name="_Toc140565541"/>
      <w:r>
        <w:rPr>
          <w:rFonts w:hint="eastAsia"/>
        </w:rPr>
        <w:t>规定性指标</w:t>
      </w:r>
      <w:bookmarkEnd w:id="158"/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互花米草：全面调查施工区域互花米草的现状，准确把握互花米草的面积、范围、结构，形成互花米草</w:t>
      </w:r>
      <w:r>
        <w:rPr>
          <w:rFonts w:hint="eastAsia"/>
        </w:rPr>
        <w:t>“</w:t>
      </w:r>
      <w:r>
        <w:t>一张图</w:t>
      </w:r>
      <w:r>
        <w:rPr>
          <w:rFonts w:hint="eastAsia"/>
        </w:rPr>
        <w:t>”</w:t>
      </w:r>
      <w:r>
        <w:t>。具体监测方法参考《互花米草调查技术规程》（国家林业和草原局、自然资源部、农业农村部</w:t>
      </w:r>
      <w:r>
        <w:t xml:space="preserve"> </w:t>
      </w:r>
      <w:proofErr w:type="gramStart"/>
      <w:r>
        <w:t>办湿字</w:t>
      </w:r>
      <w:proofErr w:type="gramEnd"/>
      <w:r>
        <w:t>〔</w:t>
      </w:r>
      <w:r>
        <w:t>2023</w:t>
      </w:r>
      <w:r>
        <w:t>〕</w:t>
      </w:r>
      <w:r>
        <w:t>17</w:t>
      </w:r>
      <w:r>
        <w:t>号）。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底栖生物：监测底栖生物种类组成、生物数量、生物量以及指示物种的密度，具体监测方法参考《海洋调查规范》</w:t>
      </w:r>
      <w:r>
        <w:rPr>
          <w:rFonts w:hint="eastAsia"/>
        </w:rPr>
        <w:t>（</w:t>
      </w:r>
      <w:r>
        <w:t>GB/T 12763</w:t>
      </w:r>
      <w:r>
        <w:rPr>
          <w:rFonts w:hint="eastAsia"/>
        </w:rPr>
        <w:t>）</w:t>
      </w:r>
      <w:r>
        <w:t>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环境残留：监测土壤和水体等环境中残留药物含量，如有必要也可监测底栖生物等食物链中的药物残留量。</w:t>
      </w:r>
    </w:p>
    <w:p w:rsidR="00F44A2D" w:rsidRDefault="00772216">
      <w:pPr>
        <w:pStyle w:val="3"/>
      </w:pPr>
      <w:bookmarkStart w:id="164" w:name="_Toc6517"/>
      <w:r>
        <w:rPr>
          <w:rFonts w:hint="eastAsia"/>
        </w:rPr>
        <w:lastRenderedPageBreak/>
        <w:t>指导性指标</w:t>
      </w:r>
      <w:bookmarkEnd w:id="164"/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）其他植被：其他植被的种类组成、生物数量、生物量等，具体监测参考</w:t>
      </w:r>
      <w:r w:rsidR="00802535">
        <w:fldChar w:fldCharType="begin"/>
      </w:r>
      <w:r w:rsidR="00802535">
        <w:instrText>HYPERLINK "https://www.mee.gov.cn/ywgz/fgbz/bz/bzwb/stzl/201411/W020141106529795756324.pdf"</w:instrText>
      </w:r>
      <w:r w:rsidR="00802535">
        <w:fldChar w:fldCharType="separate"/>
      </w:r>
      <w:r>
        <w:rPr>
          <w:rFonts w:hint="eastAsia"/>
        </w:rPr>
        <w:t>生物多样性观测技术导则</w:t>
      </w:r>
      <w:r>
        <w:rPr>
          <w:rFonts w:hint="eastAsia"/>
        </w:rPr>
        <w:t xml:space="preserve"> </w:t>
      </w:r>
      <w:r>
        <w:rPr>
          <w:rFonts w:hint="eastAsia"/>
        </w:rPr>
        <w:t>陆生维管植物</w:t>
      </w:r>
      <w:r w:rsidR="00802535">
        <w:fldChar w:fldCharType="end"/>
      </w:r>
      <w:r>
        <w:rPr>
          <w:rFonts w:hint="eastAsia"/>
        </w:rPr>
        <w:t>（</w:t>
      </w:r>
      <w:r>
        <w:rPr>
          <w:rFonts w:hint="eastAsia"/>
        </w:rPr>
        <w:t>HJ 710.1</w:t>
      </w:r>
      <w:r>
        <w:rPr>
          <w:rFonts w:hint="eastAsia"/>
        </w:rPr>
        <w:t>）和</w:t>
      </w:r>
      <w:r w:rsidR="00802535">
        <w:fldChar w:fldCharType="begin"/>
      </w:r>
      <w:r w:rsidR="00802535">
        <w:instrText>HYPERLINK "https://www.mee.gov.cn/ywgz/fgbz/bz/bzwb/stzl/201605/W020160510519061748011.pdf"</w:instrText>
      </w:r>
      <w:r w:rsidR="00802535">
        <w:fldChar w:fldCharType="separate"/>
      </w:r>
      <w:r>
        <w:rPr>
          <w:rFonts w:hint="eastAsia"/>
        </w:rPr>
        <w:t>水生维管植物</w:t>
      </w:r>
      <w:r w:rsidR="00802535">
        <w:fldChar w:fldCharType="end"/>
      </w:r>
      <w:r>
        <w:rPr>
          <w:rFonts w:hint="eastAsia"/>
        </w:rPr>
        <w:t>（</w:t>
      </w:r>
      <w:r>
        <w:rPr>
          <w:rFonts w:hint="eastAsia"/>
        </w:rPr>
        <w:t>HJ 710.12</w:t>
      </w:r>
      <w:r>
        <w:rPr>
          <w:rFonts w:hint="eastAsia"/>
        </w:rPr>
        <w:t>）。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）鸟类：监测鸟类的种类、数量等，具体监测方法参考《生物多样性观测技术导则</w:t>
      </w:r>
      <w:r>
        <w:rPr>
          <w:rFonts w:hint="eastAsia"/>
        </w:rPr>
        <w:t xml:space="preserve"> </w:t>
      </w:r>
      <w:r>
        <w:rPr>
          <w:rFonts w:hint="eastAsia"/>
        </w:rPr>
        <w:t>鸟类》（</w:t>
      </w:r>
      <w:r>
        <w:rPr>
          <w:rFonts w:hint="eastAsia"/>
        </w:rPr>
        <w:t>HJ 710.4</w:t>
      </w:r>
      <w:r>
        <w:rPr>
          <w:rFonts w:hint="eastAsia"/>
        </w:rPr>
        <w:t>）。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）底质环境：监测潮间带的高程，具体监测方式参考《潮间带调查规范》（</w:t>
      </w:r>
      <w:r>
        <w:t>GB/T 42639</w:t>
      </w:r>
      <w:r>
        <w:rPr>
          <w:rFonts w:hint="eastAsia"/>
        </w:rPr>
        <w:t>）。</w:t>
      </w:r>
    </w:p>
    <w:p w:rsidR="00F44A2D" w:rsidRDefault="00772216">
      <w:pPr>
        <w:pStyle w:val="2"/>
      </w:pPr>
      <w:bookmarkStart w:id="165" w:name="_Toc14377"/>
      <w:bookmarkStart w:id="166" w:name="_Toc4282"/>
      <w:bookmarkStart w:id="167" w:name="_Toc138602683"/>
      <w:bookmarkStart w:id="168" w:name="_Toc140565549"/>
      <w:bookmarkStart w:id="169" w:name="_Toc13742"/>
      <w:bookmarkStart w:id="170" w:name="_Toc17622"/>
      <w:bookmarkStart w:id="171" w:name="_Toc21127"/>
      <w:bookmarkEnd w:id="159"/>
      <w:bookmarkEnd w:id="160"/>
      <w:bookmarkEnd w:id="161"/>
      <w:bookmarkEnd w:id="162"/>
      <w:bookmarkEnd w:id="163"/>
      <w:r>
        <w:t>监测与评</w:t>
      </w:r>
      <w:r>
        <w:rPr>
          <w:rFonts w:hint="eastAsia"/>
        </w:rPr>
        <w:t>估</w:t>
      </w:r>
      <w:r>
        <w:t>报告</w:t>
      </w:r>
      <w:bookmarkEnd w:id="165"/>
      <w:bookmarkEnd w:id="166"/>
      <w:bookmarkEnd w:id="167"/>
      <w:bookmarkEnd w:id="168"/>
      <w:bookmarkEnd w:id="169"/>
      <w:bookmarkEnd w:id="170"/>
      <w:bookmarkEnd w:id="171"/>
    </w:p>
    <w:p w:rsidR="00F44A2D" w:rsidRDefault="00772216">
      <w:pPr>
        <w:ind w:firstLine="560"/>
      </w:pPr>
      <w:r>
        <w:t>监测期间，注意各类资料、影像的收集和整理，包括但不限于本底调查和施药后实地监测的组织方式、时间、天气、潮汐、监测影像记录或电子档案，跟踪监测检测方法、原始数据、影像记录，其它应归档的监测相关资料等。监测与评</w:t>
      </w:r>
      <w:r>
        <w:rPr>
          <w:rFonts w:hint="eastAsia"/>
        </w:rPr>
        <w:t>估</w:t>
      </w:r>
      <w:r>
        <w:t>报告至少包括以下内容</w:t>
      </w:r>
      <w:r>
        <w:rPr>
          <w:rFonts w:hint="eastAsia"/>
        </w:rPr>
        <w:t>：</w:t>
      </w:r>
    </w:p>
    <w:p w:rsidR="00F44A2D" w:rsidRDefault="00772216">
      <w:pPr>
        <w:ind w:firstLineChars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治理项目概况</w:t>
      </w:r>
    </w:p>
    <w:p w:rsidR="00F44A2D" w:rsidRDefault="00772216">
      <w:pPr>
        <w:ind w:firstLineChars="0"/>
      </w:pPr>
      <w:r>
        <w:t>项目由来、建设单位、建设内容、地理位置、范围与面积、治理工艺、工程时间等；</w:t>
      </w:r>
    </w:p>
    <w:p w:rsidR="00F44A2D" w:rsidRDefault="00772216">
      <w:pPr>
        <w:ind w:firstLineChars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跟踪监测情况</w:t>
      </w:r>
    </w:p>
    <w:p w:rsidR="00F44A2D" w:rsidRDefault="00772216">
      <w:pPr>
        <w:ind w:firstLineChars="0"/>
      </w:pPr>
      <w:r>
        <w:t>监测区域、监测时间、监测站位、监测内容、监测与评</w:t>
      </w:r>
      <w:r>
        <w:rPr>
          <w:rFonts w:hint="eastAsia"/>
        </w:rPr>
        <w:t>估</w:t>
      </w:r>
      <w:r>
        <w:t>方法、监测结果等；</w:t>
      </w:r>
    </w:p>
    <w:p w:rsidR="00F44A2D" w:rsidRDefault="00772216">
      <w:pPr>
        <w:ind w:firstLineChars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治理效果评估</w:t>
      </w:r>
    </w:p>
    <w:p w:rsidR="00F44A2D" w:rsidRDefault="00772216">
      <w:pPr>
        <w:ind w:firstLineChars="0"/>
      </w:pPr>
      <w:r>
        <w:t>治理工程进展</w:t>
      </w:r>
      <w:r>
        <w:rPr>
          <w:rFonts w:hint="eastAsia"/>
        </w:rPr>
        <w:t>，</w:t>
      </w:r>
      <w:r>
        <w:t>治理目标完成情况</w:t>
      </w:r>
      <w:r>
        <w:rPr>
          <w:rFonts w:hint="eastAsia"/>
        </w:rPr>
        <w:t>，</w:t>
      </w:r>
      <w:r>
        <w:t>治理前后的互花米草</w:t>
      </w:r>
      <w:r>
        <w:rPr>
          <w:rFonts w:hint="eastAsia"/>
        </w:rPr>
        <w:t>、土著植物、底栖生物和鸟类种群</w:t>
      </w:r>
      <w:r>
        <w:t>情况对比</w:t>
      </w:r>
      <w:r>
        <w:rPr>
          <w:rFonts w:hint="eastAsia"/>
        </w:rPr>
        <w:t>，</w:t>
      </w:r>
      <w:r>
        <w:t>治理后</w:t>
      </w:r>
      <w:r>
        <w:rPr>
          <w:rFonts w:hint="eastAsia"/>
        </w:rPr>
        <w:t>植被、底栖生物、</w:t>
      </w:r>
      <w:r>
        <w:t>土壤</w:t>
      </w:r>
      <w:r>
        <w:rPr>
          <w:rFonts w:hint="eastAsia"/>
        </w:rPr>
        <w:t>和</w:t>
      </w:r>
      <w:r>
        <w:t>水体</w:t>
      </w:r>
      <w:r>
        <w:rPr>
          <w:rFonts w:hint="eastAsia"/>
        </w:rPr>
        <w:t>内</w:t>
      </w:r>
      <w:r>
        <w:t>药物残留特征。</w:t>
      </w:r>
    </w:p>
    <w:p w:rsidR="00F44A2D" w:rsidRDefault="00772216">
      <w:pPr>
        <w:ind w:firstLineChars="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t>附图与附表</w:t>
      </w:r>
    </w:p>
    <w:p w:rsidR="00F44A2D" w:rsidRDefault="00772216">
      <w:pPr>
        <w:ind w:firstLineChars="0"/>
      </w:pPr>
      <w:r>
        <w:t>治理项目地理位置平面图、治理前后的互花米草及其他调查对象区域分布图、调查监测统计表、治理情况统计表等。</w:t>
      </w:r>
    </w:p>
    <w:p w:rsidR="00F44A2D" w:rsidRDefault="00772216">
      <w:pPr>
        <w:pStyle w:val="1"/>
      </w:pPr>
      <w:bookmarkStart w:id="172" w:name="_Toc6331"/>
      <w:bookmarkStart w:id="173" w:name="_Toc31887"/>
      <w:bookmarkStart w:id="174" w:name="_Toc17438"/>
      <w:bookmarkStart w:id="175" w:name="_Toc19292"/>
      <w:bookmarkStart w:id="176" w:name="_Toc140565550"/>
      <w:bookmarkStart w:id="177" w:name="_Toc29844"/>
      <w:r>
        <w:rPr>
          <w:rFonts w:hint="eastAsia"/>
        </w:rPr>
        <w:lastRenderedPageBreak/>
        <w:t>长效维护与管理</w:t>
      </w:r>
      <w:bookmarkEnd w:id="172"/>
      <w:bookmarkEnd w:id="173"/>
      <w:bookmarkEnd w:id="174"/>
      <w:bookmarkEnd w:id="175"/>
      <w:bookmarkEnd w:id="176"/>
      <w:bookmarkEnd w:id="177"/>
    </w:p>
    <w:p w:rsidR="00F44A2D" w:rsidRDefault="00772216">
      <w:pPr>
        <w:pStyle w:val="2"/>
      </w:pPr>
      <w:bookmarkStart w:id="178" w:name="_Toc20263"/>
      <w:bookmarkStart w:id="179" w:name="_Toc11023"/>
      <w:bookmarkStart w:id="180" w:name="_Toc140565551"/>
      <w:bookmarkStart w:id="181" w:name="_Toc27138"/>
      <w:bookmarkStart w:id="182" w:name="_Toc32530"/>
      <w:bookmarkStart w:id="183" w:name="_Toc10640"/>
      <w:r>
        <w:rPr>
          <w:rFonts w:hint="eastAsia"/>
        </w:rPr>
        <w:t>巡查预警</w:t>
      </w:r>
      <w:bookmarkEnd w:id="178"/>
      <w:bookmarkEnd w:id="179"/>
      <w:bookmarkEnd w:id="180"/>
      <w:bookmarkEnd w:id="181"/>
      <w:bookmarkEnd w:id="182"/>
      <w:bookmarkEnd w:id="183"/>
    </w:p>
    <w:p w:rsidR="00F44A2D" w:rsidRDefault="00772216">
      <w:pPr>
        <w:ind w:firstLine="560"/>
      </w:pPr>
      <w:r>
        <w:t>互花米草除治后，</w:t>
      </w:r>
      <w:proofErr w:type="gramStart"/>
      <w:r>
        <w:t>宜建立</w:t>
      </w:r>
      <w:proofErr w:type="gramEnd"/>
      <w:r>
        <w:rPr>
          <w:rFonts w:hint="eastAsia"/>
        </w:rPr>
        <w:t>常态化巡查预警机制</w:t>
      </w:r>
      <w:r>
        <w:t>，稳固</w:t>
      </w:r>
      <w:r>
        <w:rPr>
          <w:rFonts w:hint="eastAsia"/>
        </w:rPr>
        <w:t>除治</w:t>
      </w:r>
      <w:r>
        <w:t>成效。开展日常巡查，特别是互花米草生长季，预防</w:t>
      </w:r>
      <w:r>
        <w:rPr>
          <w:rFonts w:hint="eastAsia"/>
        </w:rPr>
        <w:t>二次入侵或</w:t>
      </w:r>
      <w:r>
        <w:t>复发。</w:t>
      </w:r>
    </w:p>
    <w:p w:rsidR="00F44A2D" w:rsidRDefault="00772216">
      <w:pPr>
        <w:pStyle w:val="3"/>
      </w:pPr>
      <w:bookmarkStart w:id="184" w:name="_Toc20583"/>
      <w:bookmarkStart w:id="185" w:name="_Toc4287"/>
      <w:bookmarkStart w:id="186" w:name="_Toc5721"/>
      <w:bookmarkStart w:id="187" w:name="_Toc10143"/>
      <w:bookmarkStart w:id="188" w:name="_Toc140565552"/>
      <w:bookmarkStart w:id="189" w:name="_Toc28769"/>
      <w:r>
        <w:rPr>
          <w:rFonts w:hint="eastAsia"/>
        </w:rPr>
        <w:t>建立常态化巡查预警机制</w:t>
      </w:r>
      <w:bookmarkEnd w:id="184"/>
      <w:bookmarkEnd w:id="185"/>
      <w:bookmarkEnd w:id="186"/>
      <w:bookmarkEnd w:id="187"/>
      <w:bookmarkEnd w:id="188"/>
      <w:bookmarkEnd w:id="189"/>
    </w:p>
    <w:p w:rsidR="00F44A2D" w:rsidRDefault="00772216">
      <w:pPr>
        <w:ind w:firstLine="560"/>
      </w:pPr>
      <w:r>
        <w:rPr>
          <w:rFonts w:hint="eastAsia"/>
        </w:rPr>
        <w:t>互花米草除治后，</w:t>
      </w:r>
      <w:proofErr w:type="gramStart"/>
      <w:r>
        <w:rPr>
          <w:rFonts w:hint="eastAsia"/>
        </w:rPr>
        <w:t>宜建立</w:t>
      </w:r>
      <w:proofErr w:type="gramEnd"/>
      <w:r>
        <w:rPr>
          <w:rFonts w:hint="eastAsia"/>
        </w:rPr>
        <w:t>常态化巡查预警机制，综合运用遥感影像、无人机等先进技术及现场调查等巡查预警手段，稳固除治成效。通过合同约定等方式，由除治实施单位做好质保期内的巡查工作；由相关区或单位负责长效管护工作。</w:t>
      </w:r>
    </w:p>
    <w:p w:rsidR="00F44A2D" w:rsidRDefault="00772216">
      <w:pPr>
        <w:pStyle w:val="3"/>
      </w:pPr>
      <w:bookmarkStart w:id="190" w:name="_Toc140565553"/>
      <w:bookmarkStart w:id="191" w:name="_Toc13792"/>
      <w:bookmarkStart w:id="192" w:name="_Toc12174"/>
      <w:bookmarkStart w:id="193" w:name="_Toc4111"/>
      <w:bookmarkStart w:id="194" w:name="_Toc12856"/>
      <w:bookmarkStart w:id="195" w:name="_Toc1298"/>
      <w:r>
        <w:rPr>
          <w:rFonts w:hint="eastAsia"/>
        </w:rPr>
        <w:t>开展日常巡查</w:t>
      </w:r>
      <w:bookmarkEnd w:id="190"/>
      <w:bookmarkEnd w:id="191"/>
      <w:bookmarkEnd w:id="192"/>
      <w:bookmarkEnd w:id="193"/>
      <w:bookmarkEnd w:id="194"/>
      <w:bookmarkEnd w:id="195"/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）巡查范围</w:t>
      </w:r>
    </w:p>
    <w:p w:rsidR="00F44A2D" w:rsidRDefault="00772216">
      <w:pPr>
        <w:ind w:firstLine="560"/>
      </w:pPr>
      <w:r>
        <w:rPr>
          <w:rFonts w:hint="eastAsia"/>
        </w:rPr>
        <w:t>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区及周边</w:t>
      </w:r>
      <w:r>
        <w:rPr>
          <w:rFonts w:hint="eastAsia"/>
        </w:rPr>
        <w:t>100 m</w:t>
      </w:r>
      <w:r>
        <w:rPr>
          <w:rFonts w:hint="eastAsia"/>
        </w:rPr>
        <w:t>范围。在治理区内重点巡查是否有复发或二次入侵的互花米草。在周边</w:t>
      </w:r>
      <w:r>
        <w:rPr>
          <w:rFonts w:hint="eastAsia"/>
        </w:rPr>
        <w:t>100 m</w:t>
      </w:r>
      <w:r>
        <w:rPr>
          <w:rFonts w:hint="eastAsia"/>
        </w:rPr>
        <w:t>范围内重点巡查是否有互花米草扩散的迹象。</w:t>
      </w:r>
    </w:p>
    <w:p w:rsidR="00F44A2D" w:rsidRDefault="00772216">
      <w:pPr>
        <w:ind w:firstLine="560"/>
      </w:pPr>
      <w:r>
        <w:rPr>
          <w:rFonts w:hint="eastAsia"/>
        </w:rPr>
        <w:t>主要通过无人机或高分辨率（空间分辨率优于</w:t>
      </w:r>
      <w:r>
        <w:rPr>
          <w:rFonts w:hint="eastAsia"/>
        </w:rPr>
        <w:t>2m</w:t>
      </w:r>
      <w:r>
        <w:rPr>
          <w:rFonts w:hint="eastAsia"/>
        </w:rPr>
        <w:t>）卫星遥感影像处理，结合人工现场辅助检查互花米草除治效果。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）巡查方法</w:t>
      </w:r>
    </w:p>
    <w:p w:rsidR="00F44A2D" w:rsidRDefault="00772216">
      <w:pPr>
        <w:ind w:firstLine="560"/>
      </w:pPr>
      <w:r>
        <w:rPr>
          <w:rFonts w:hint="eastAsia"/>
        </w:rPr>
        <w:t>人工现场检查可结合实际情况，设置巡查断面，在每条断面上设置</w:t>
      </w:r>
      <w:r>
        <w:rPr>
          <w:rFonts w:hint="eastAsia"/>
        </w:rPr>
        <w:t>2~3</w:t>
      </w:r>
      <w:r>
        <w:rPr>
          <w:rFonts w:hint="eastAsia"/>
        </w:rPr>
        <w:t>个样地，样地大小</w:t>
      </w:r>
      <w:r>
        <w:rPr>
          <w:rFonts w:hint="eastAsia"/>
        </w:rPr>
        <w:t>5m</w:t>
      </w:r>
      <w:r>
        <w:rPr>
          <w:rFonts w:hint="eastAsia"/>
        </w:rPr>
        <w:t>×</w:t>
      </w:r>
      <w:r>
        <w:rPr>
          <w:rFonts w:hint="eastAsia"/>
        </w:rPr>
        <w:t>5m</w:t>
      </w:r>
      <w:r>
        <w:rPr>
          <w:rFonts w:hint="eastAsia"/>
        </w:rPr>
        <w:t>。原则上，除治面积小于</w:t>
      </w:r>
      <w:r>
        <w:rPr>
          <w:rFonts w:hint="eastAsia"/>
        </w:rPr>
        <w:t>50ha</w:t>
      </w:r>
      <w:r>
        <w:rPr>
          <w:rFonts w:hint="eastAsia"/>
        </w:rPr>
        <w:t>时，巡查断面不少于</w:t>
      </w:r>
      <w:r>
        <w:rPr>
          <w:rFonts w:hint="eastAsia"/>
        </w:rPr>
        <w:t>1</w:t>
      </w:r>
      <w:r>
        <w:rPr>
          <w:rFonts w:hint="eastAsia"/>
        </w:rPr>
        <w:t>条；</w:t>
      </w:r>
      <w:r>
        <w:rPr>
          <w:rFonts w:hint="eastAsia"/>
        </w:rPr>
        <w:t>50~100ha</w:t>
      </w:r>
      <w:r>
        <w:rPr>
          <w:rFonts w:hint="eastAsia"/>
        </w:rPr>
        <w:t>时，巡查断面不少于</w:t>
      </w:r>
      <w:r>
        <w:rPr>
          <w:rFonts w:hint="eastAsia"/>
        </w:rPr>
        <w:t>3</w:t>
      </w:r>
      <w:r>
        <w:rPr>
          <w:rFonts w:hint="eastAsia"/>
        </w:rPr>
        <w:t>条；大于</w:t>
      </w:r>
      <w:r>
        <w:rPr>
          <w:rFonts w:hint="eastAsia"/>
        </w:rPr>
        <w:t>100ha</w:t>
      </w:r>
      <w:r>
        <w:rPr>
          <w:rFonts w:hint="eastAsia"/>
        </w:rPr>
        <w:t>时，巡查断面不少于</w:t>
      </w:r>
      <w:r>
        <w:rPr>
          <w:rFonts w:hint="eastAsia"/>
        </w:rPr>
        <w:t>5</w:t>
      </w:r>
      <w:r>
        <w:rPr>
          <w:rFonts w:hint="eastAsia"/>
        </w:rPr>
        <w:t>条。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）巡查频次</w:t>
      </w:r>
    </w:p>
    <w:p w:rsidR="00F44A2D" w:rsidRDefault="00772216">
      <w:pPr>
        <w:ind w:firstLine="560"/>
      </w:pPr>
      <w:r>
        <w:rPr>
          <w:rFonts w:hint="eastAsia"/>
        </w:rPr>
        <w:t>宜根据项目完工时间、互花米草生长周期、潮汐状况等确定巡查频次，并随除治完工时间推移逐渐降低。</w:t>
      </w:r>
    </w:p>
    <w:p w:rsidR="00F44A2D" w:rsidRDefault="00772216">
      <w:pPr>
        <w:ind w:firstLine="560"/>
      </w:pPr>
      <w:r>
        <w:rPr>
          <w:rFonts w:hint="eastAsia"/>
        </w:rPr>
        <w:t>除治完工后</w:t>
      </w:r>
      <w:r>
        <w:rPr>
          <w:rFonts w:hint="eastAsia"/>
        </w:rPr>
        <w:t>1</w:t>
      </w:r>
      <w:r>
        <w:rPr>
          <w:rFonts w:hint="eastAsia"/>
        </w:rPr>
        <w:t>个月内检查</w:t>
      </w:r>
      <w:r>
        <w:t>1</w:t>
      </w:r>
      <w:r>
        <w:rPr>
          <w:rFonts w:hint="eastAsia"/>
        </w:rPr>
        <w:t>次，管护期内每年生长季</w:t>
      </w:r>
      <w:r>
        <w:rPr>
          <w:rFonts w:hint="eastAsia"/>
        </w:rPr>
        <w:t>4~</w:t>
      </w:r>
      <w:r>
        <w:t>11</w:t>
      </w:r>
      <w:r>
        <w:rPr>
          <w:rFonts w:hint="eastAsia"/>
        </w:rPr>
        <w:t>月平均巡查不少于</w:t>
      </w:r>
      <w:r>
        <w:rPr>
          <w:rFonts w:hint="eastAsia"/>
        </w:rPr>
        <w:t>4</w:t>
      </w:r>
      <w:r>
        <w:rPr>
          <w:rFonts w:hint="eastAsia"/>
        </w:rPr>
        <w:t>次。</w:t>
      </w:r>
    </w:p>
    <w:p w:rsidR="00F44A2D" w:rsidRDefault="0077221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）巡查记录</w:t>
      </w:r>
    </w:p>
    <w:p w:rsidR="00F44A2D" w:rsidRDefault="00772216">
      <w:pPr>
        <w:ind w:firstLine="560"/>
      </w:pPr>
      <w:r>
        <w:rPr>
          <w:rFonts w:hint="eastAsia"/>
        </w:rPr>
        <w:lastRenderedPageBreak/>
        <w:t>巡查人员应当根据巡查要求，将每次巡查情况做好书面台</w:t>
      </w:r>
      <w:proofErr w:type="gramStart"/>
      <w:r>
        <w:rPr>
          <w:rFonts w:hint="eastAsia"/>
        </w:rPr>
        <w:t>账记录</w:t>
      </w:r>
      <w:proofErr w:type="gramEnd"/>
      <w:r>
        <w:rPr>
          <w:rFonts w:hint="eastAsia"/>
        </w:rPr>
        <w:t>并报相关管理部门。</w:t>
      </w:r>
    </w:p>
    <w:p w:rsidR="00F44A2D" w:rsidRDefault="00772216">
      <w:pPr>
        <w:pStyle w:val="2"/>
      </w:pPr>
      <w:bookmarkStart w:id="196" w:name="_Toc14990"/>
      <w:bookmarkStart w:id="197" w:name="_Toc21601"/>
      <w:bookmarkStart w:id="198" w:name="_Toc13330"/>
      <w:bookmarkStart w:id="199" w:name="_Toc12272"/>
      <w:bookmarkStart w:id="200" w:name="_Toc140565554"/>
      <w:bookmarkStart w:id="201" w:name="_Toc31811"/>
      <w:r>
        <w:rPr>
          <w:rFonts w:hint="eastAsia"/>
        </w:rPr>
        <w:t>后期维护管理</w:t>
      </w:r>
      <w:bookmarkEnd w:id="196"/>
      <w:bookmarkEnd w:id="197"/>
      <w:bookmarkEnd w:id="198"/>
      <w:bookmarkEnd w:id="199"/>
      <w:bookmarkEnd w:id="200"/>
      <w:bookmarkEnd w:id="201"/>
    </w:p>
    <w:p w:rsidR="00F44A2D" w:rsidRDefault="00772216">
      <w:pPr>
        <w:ind w:firstLine="560"/>
        <w:rPr>
          <w:rFonts w:cs="Times New Roman"/>
          <w:color w:val="000000" w:themeColor="text1"/>
        </w:rPr>
      </w:pPr>
      <w:proofErr w:type="gramStart"/>
      <w:r>
        <w:rPr>
          <w:rFonts w:cs="Times New Roman" w:hint="eastAsia"/>
          <w:color w:val="000000" w:themeColor="text1"/>
        </w:rPr>
        <w:t>宜按照</w:t>
      </w:r>
      <w:proofErr w:type="gramEnd"/>
      <w:r>
        <w:rPr>
          <w:rFonts w:cs="Times New Roman" w:hint="eastAsia"/>
          <w:color w:val="000000" w:themeColor="text1"/>
        </w:rPr>
        <w:t>本手册监测要求及《</w:t>
      </w:r>
      <w:r>
        <w:rPr>
          <w:rFonts w:hint="eastAsia"/>
        </w:rPr>
        <w:t>滨海湿地生态监测技术规程</w:t>
      </w:r>
      <w:r>
        <w:rPr>
          <w:rFonts w:cs="Times New Roman" w:hint="eastAsia"/>
          <w:color w:val="000000" w:themeColor="text1"/>
        </w:rPr>
        <w:t>》（</w:t>
      </w:r>
      <w:r>
        <w:rPr>
          <w:rFonts w:cs="Times New Roman" w:hint="eastAsia"/>
          <w:color w:val="000000" w:themeColor="text1"/>
        </w:rPr>
        <w:t>HY/T 080</w:t>
      </w:r>
      <w:r>
        <w:rPr>
          <w:rFonts w:cs="Times New Roman" w:hint="eastAsia"/>
          <w:color w:val="000000" w:themeColor="text1"/>
        </w:rPr>
        <w:t>），持续性监测除治区内的互花米草，预防其复发或二次入侵。</w:t>
      </w:r>
    </w:p>
    <w:p w:rsidR="00F44A2D" w:rsidRDefault="00772216">
      <w:pPr>
        <w:ind w:firstLine="56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在除治区内，</w:t>
      </w:r>
      <w:r>
        <w:rPr>
          <w:rFonts w:cs="Times New Roman"/>
          <w:color w:val="000000" w:themeColor="text1"/>
        </w:rPr>
        <w:t>一旦发现互花米草应及时清除，如出现零星的新发植株，应</w:t>
      </w:r>
      <w:r>
        <w:rPr>
          <w:rFonts w:cs="Times New Roman" w:hint="eastAsia"/>
          <w:color w:val="000000" w:themeColor="text1"/>
        </w:rPr>
        <w:t>采取挖除拔除</w:t>
      </w:r>
      <w:r>
        <w:rPr>
          <w:rFonts w:cs="Times New Roman"/>
          <w:color w:val="000000" w:themeColor="text1"/>
        </w:rPr>
        <w:t>措施及时治理；如出现斑块状种群，宜采用</w:t>
      </w:r>
      <w:r>
        <w:rPr>
          <w:rFonts w:cs="Times New Roman" w:hint="eastAsia"/>
          <w:color w:val="000000" w:themeColor="text1"/>
        </w:rPr>
        <w:t>药剂除治</w:t>
      </w:r>
      <w:r>
        <w:rPr>
          <w:rFonts w:cs="Times New Roman"/>
          <w:color w:val="000000" w:themeColor="text1"/>
        </w:rPr>
        <w:t>措施及时治理。</w:t>
      </w:r>
    </w:p>
    <w:p w:rsidR="00F44A2D" w:rsidRDefault="00772216">
      <w:pPr>
        <w:ind w:firstLine="56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  <w:kern w:val="0"/>
        </w:rPr>
        <w:t>乡土</w:t>
      </w:r>
      <w:r>
        <w:rPr>
          <w:rFonts w:cs="Times New Roman"/>
          <w:color w:val="000000" w:themeColor="text1"/>
          <w:kern w:val="0"/>
        </w:rPr>
        <w:t>植物种植后，</w:t>
      </w:r>
      <w:r>
        <w:rPr>
          <w:rFonts w:cs="Times New Roman" w:hint="eastAsia"/>
          <w:color w:val="000000" w:themeColor="text1"/>
          <w:kern w:val="0"/>
        </w:rPr>
        <w:t>需</w:t>
      </w:r>
      <w:r>
        <w:rPr>
          <w:rFonts w:cs="Times New Roman"/>
          <w:color w:val="000000" w:themeColor="text1"/>
          <w:kern w:val="0"/>
        </w:rPr>
        <w:t>进行</w:t>
      </w:r>
      <w:r>
        <w:rPr>
          <w:rFonts w:cs="Times New Roman"/>
          <w:color w:val="000000" w:themeColor="text1"/>
        </w:rPr>
        <w:t>封滩管护</w:t>
      </w:r>
      <w:r>
        <w:rPr>
          <w:rFonts w:cs="Times New Roman" w:hint="eastAsia"/>
          <w:color w:val="000000" w:themeColor="text1"/>
        </w:rPr>
        <w:t>，应</w:t>
      </w:r>
      <w:r>
        <w:rPr>
          <w:rFonts w:cs="Times New Roman"/>
          <w:color w:val="000000" w:themeColor="text1"/>
        </w:rPr>
        <w:t>根据修复区域存在的干扰因素，制定有针对性的管护措施。</w:t>
      </w:r>
    </w:p>
    <w:p w:rsidR="00F44A2D" w:rsidRDefault="00772216">
      <w:pPr>
        <w:ind w:firstLine="56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大规模治理工程结束且</w:t>
      </w:r>
      <w:r>
        <w:rPr>
          <w:rFonts w:cs="Times New Roman" w:hint="eastAsia"/>
          <w:color w:val="000000" w:themeColor="text1"/>
        </w:rPr>
        <w:t>乡</w:t>
      </w:r>
      <w:r>
        <w:rPr>
          <w:rFonts w:cs="Times New Roman"/>
          <w:color w:val="000000" w:themeColor="text1"/>
        </w:rPr>
        <w:t>土植被完全恢复后，宜拆除临时道路、围</w:t>
      </w:r>
      <w:r>
        <w:rPr>
          <w:rFonts w:cs="Times New Roman" w:hint="eastAsia"/>
          <w:color w:val="000000" w:themeColor="text1"/>
        </w:rPr>
        <w:t>堰</w:t>
      </w:r>
      <w:r>
        <w:rPr>
          <w:rFonts w:cs="Times New Roman"/>
          <w:color w:val="000000" w:themeColor="text1"/>
        </w:rPr>
        <w:t>等工程设施，恢复滩地的自然状态。</w:t>
      </w:r>
    </w:p>
    <w:p w:rsidR="00F44A2D" w:rsidRDefault="00F44A2D">
      <w:pPr>
        <w:ind w:firstLine="560"/>
      </w:pPr>
    </w:p>
    <w:p w:rsidR="00F44A2D" w:rsidRDefault="00F44A2D">
      <w:pPr>
        <w:pStyle w:val="2"/>
        <w:numPr>
          <w:ilvl w:val="0"/>
          <w:numId w:val="0"/>
        </w:numPr>
        <w:sectPr w:rsidR="00F44A2D">
          <w:headerReference w:type="default" r:id="rId29"/>
          <w:footerReference w:type="default" r:id="rId3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F44A2D" w:rsidRDefault="00772216">
      <w:pPr>
        <w:pStyle w:val="1"/>
      </w:pPr>
      <w:bookmarkStart w:id="202" w:name="_Toc20355"/>
      <w:bookmarkStart w:id="203" w:name="_Toc26320"/>
      <w:bookmarkStart w:id="204" w:name="_Toc25924"/>
      <w:bookmarkStart w:id="205" w:name="_Toc140565555"/>
      <w:bookmarkStart w:id="206" w:name="_Toc31461"/>
      <w:bookmarkStart w:id="207" w:name="_Toc25816"/>
      <w:r>
        <w:rPr>
          <w:rFonts w:hint="eastAsia"/>
        </w:rPr>
        <w:lastRenderedPageBreak/>
        <w:t>附表</w:t>
      </w:r>
      <w:bookmarkEnd w:id="202"/>
      <w:bookmarkEnd w:id="203"/>
      <w:bookmarkEnd w:id="204"/>
      <w:bookmarkEnd w:id="205"/>
      <w:bookmarkEnd w:id="206"/>
      <w:bookmarkEnd w:id="207"/>
    </w:p>
    <w:p w:rsidR="00F44A2D" w:rsidRDefault="00772216">
      <w:pPr>
        <w:pStyle w:val="2"/>
        <w:numPr>
          <w:ilvl w:val="0"/>
          <w:numId w:val="0"/>
        </w:numPr>
        <w:ind w:left="643"/>
        <w:jc w:val="center"/>
      </w:pPr>
      <w:bookmarkStart w:id="208" w:name="_Toc140565556"/>
      <w:bookmarkStart w:id="209" w:name="_Toc28360"/>
      <w:bookmarkStart w:id="210" w:name="_Toc26473"/>
      <w:bookmarkStart w:id="211" w:name="_Toc30891"/>
      <w:bookmarkStart w:id="212" w:name="_Toc12414"/>
      <w:bookmarkStart w:id="213" w:name="_Toc14033"/>
      <w:r>
        <w:rPr>
          <w:rFonts w:hint="eastAsia"/>
        </w:rPr>
        <w:t>附表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互花米</w:t>
      </w:r>
      <w:proofErr w:type="gramStart"/>
      <w:r>
        <w:rPr>
          <w:rFonts w:hint="eastAsia"/>
        </w:rPr>
        <w:t>草治理</w:t>
      </w:r>
      <w:proofErr w:type="gramEnd"/>
      <w:r>
        <w:rPr>
          <w:rFonts w:hint="eastAsia"/>
        </w:rPr>
        <w:t>技术与作业要点汇总表</w:t>
      </w:r>
      <w:bookmarkEnd w:id="208"/>
      <w:bookmarkEnd w:id="209"/>
      <w:bookmarkEnd w:id="210"/>
      <w:bookmarkEnd w:id="211"/>
      <w:bookmarkEnd w:id="212"/>
      <w:bookmarkEnd w:id="213"/>
    </w:p>
    <w:tbl>
      <w:tblPr>
        <w:tblStyle w:val="a9"/>
        <w:tblW w:w="13531" w:type="dxa"/>
        <w:jc w:val="center"/>
        <w:tblLook w:val="04A0"/>
      </w:tblPr>
      <w:tblGrid>
        <w:gridCol w:w="556"/>
        <w:gridCol w:w="1276"/>
        <w:gridCol w:w="2328"/>
        <w:gridCol w:w="5474"/>
        <w:gridCol w:w="3897"/>
      </w:tblGrid>
      <w:tr w:rsidR="00F44A2D">
        <w:trPr>
          <w:trHeight w:val="344"/>
          <w:jc w:val="center"/>
        </w:trPr>
        <w:tc>
          <w:tcPr>
            <w:tcW w:w="55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治理技术</w:t>
            </w:r>
          </w:p>
        </w:tc>
        <w:tc>
          <w:tcPr>
            <w:tcW w:w="2328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适用范围</w:t>
            </w:r>
          </w:p>
        </w:tc>
        <w:tc>
          <w:tcPr>
            <w:tcW w:w="5474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作业方式</w:t>
            </w:r>
          </w:p>
        </w:tc>
        <w:tc>
          <w:tcPr>
            <w:tcW w:w="3897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注意事项</w:t>
            </w:r>
          </w:p>
        </w:tc>
      </w:tr>
      <w:tr w:rsidR="00F44A2D">
        <w:trPr>
          <w:trHeight w:val="344"/>
          <w:jc w:val="center"/>
        </w:trPr>
        <w:tc>
          <w:tcPr>
            <w:tcW w:w="55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刈割</w:t>
            </w:r>
            <w:r>
              <w:rPr>
                <w:rFonts w:hint="eastAsia"/>
                <w:szCs w:val="24"/>
              </w:rPr>
              <w:t>+</w:t>
            </w:r>
            <w:proofErr w:type="gramStart"/>
            <w:r>
              <w:rPr>
                <w:rFonts w:hint="eastAsia"/>
                <w:szCs w:val="24"/>
              </w:rPr>
              <w:t>围淹</w:t>
            </w:r>
            <w:proofErr w:type="gramEnd"/>
          </w:p>
        </w:tc>
        <w:tc>
          <w:tcPr>
            <w:tcW w:w="2328" w:type="dxa"/>
            <w:vAlign w:val="center"/>
          </w:tcPr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适用于互花米草大规模连片分布且引排水方便的治理区域。</w:t>
            </w:r>
          </w:p>
          <w:p w:rsidR="00F44A2D" w:rsidRDefault="00F44A2D">
            <w:pPr>
              <w:pStyle w:val="af0"/>
              <w:rPr>
                <w:szCs w:val="24"/>
              </w:rPr>
            </w:pPr>
          </w:p>
        </w:tc>
        <w:tc>
          <w:tcPr>
            <w:tcW w:w="5474" w:type="dxa"/>
            <w:vAlign w:val="center"/>
          </w:tcPr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 w:hint="eastAsia"/>
                <w:color w:val="000000" w:themeColor="text1"/>
                <w:szCs w:val="24"/>
              </w:rPr>
              <w:t>1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）在治理区边缘构筑围堰形成治理闭合圈，建设分隔子堰划分独立治理单元。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 w:hint="eastAsia"/>
                <w:color w:val="000000" w:themeColor="text1"/>
                <w:szCs w:val="24"/>
              </w:rPr>
              <w:t>2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）优先采用带水刈割，带水刈割宜在每年的</w:t>
            </w:r>
            <w:r>
              <w:rPr>
                <w:rFonts w:cs="Times New Roman" w:hint="eastAsia"/>
                <w:color w:val="000000" w:themeColor="text1"/>
                <w:szCs w:val="24"/>
              </w:rPr>
              <w:t>6~8</w:t>
            </w:r>
            <w:r>
              <w:rPr>
                <w:rFonts w:cs="Times New Roman" w:hint="eastAsia"/>
                <w:color w:val="000000" w:themeColor="text1"/>
                <w:szCs w:val="24"/>
              </w:rPr>
              <w:t>月；刈割水深控制在</w:t>
            </w:r>
            <w:r>
              <w:rPr>
                <w:rFonts w:cs="Times New Roman" w:hint="eastAsia"/>
                <w:color w:val="000000" w:themeColor="text1"/>
                <w:szCs w:val="24"/>
              </w:rPr>
              <w:t>40cm</w:t>
            </w:r>
            <w:r>
              <w:rPr>
                <w:rFonts w:cs="Times New Roman" w:hint="eastAsia"/>
                <w:color w:val="000000" w:themeColor="text1"/>
                <w:szCs w:val="24"/>
              </w:rPr>
              <w:t>，刈割后植株残</w:t>
            </w:r>
            <w:proofErr w:type="gramStart"/>
            <w:r>
              <w:rPr>
                <w:rFonts w:cs="Times New Roman" w:hint="eastAsia"/>
                <w:color w:val="000000" w:themeColor="text1"/>
                <w:szCs w:val="24"/>
              </w:rPr>
              <w:t>株高度</w:t>
            </w:r>
            <w:proofErr w:type="gramEnd"/>
            <w:r>
              <w:rPr>
                <w:rFonts w:cs="Times New Roman" w:hint="eastAsia"/>
                <w:color w:val="000000" w:themeColor="text1"/>
                <w:szCs w:val="24"/>
              </w:rPr>
              <w:t>应低于</w:t>
            </w:r>
            <w:r>
              <w:rPr>
                <w:rFonts w:cs="Times New Roman" w:hint="eastAsia"/>
                <w:color w:val="000000" w:themeColor="text1"/>
                <w:szCs w:val="24"/>
              </w:rPr>
              <w:t>10cm</w:t>
            </w:r>
            <w:r>
              <w:rPr>
                <w:rFonts w:cs="Times New Roman" w:hint="eastAsia"/>
                <w:color w:val="000000" w:themeColor="text1"/>
                <w:szCs w:val="24"/>
              </w:rPr>
              <w:t>；单个治理单元内的互花</w:t>
            </w:r>
            <w:proofErr w:type="gramStart"/>
            <w:r>
              <w:rPr>
                <w:rFonts w:cs="Times New Roman" w:hint="eastAsia"/>
                <w:color w:val="000000" w:themeColor="text1"/>
                <w:szCs w:val="24"/>
              </w:rPr>
              <w:t>米草宜在</w:t>
            </w:r>
            <w:proofErr w:type="gramEnd"/>
            <w:r>
              <w:rPr>
                <w:rFonts w:cs="Times New Roman" w:hint="eastAsia"/>
                <w:color w:val="000000" w:themeColor="text1"/>
                <w:szCs w:val="24"/>
              </w:rPr>
              <w:t>7</w:t>
            </w:r>
            <w:r>
              <w:rPr>
                <w:rFonts w:cs="Times New Roman" w:hint="eastAsia"/>
                <w:color w:val="000000" w:themeColor="text1"/>
                <w:szCs w:val="24"/>
              </w:rPr>
              <w:t>天内割完。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 w:hint="eastAsia"/>
                <w:color w:val="000000" w:themeColor="text1"/>
                <w:szCs w:val="24"/>
              </w:rPr>
              <w:t>3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）结合天然潮沟或河流水渠构建治理区域的临时引排水设施，从治理区外源引入陆地淡水或海水进行蓄纳，放水淹地应在刈割作业结束后</w:t>
            </w:r>
            <w:r>
              <w:rPr>
                <w:rFonts w:cs="Times New Roman" w:hint="eastAsia"/>
                <w:color w:val="000000" w:themeColor="text1"/>
                <w:szCs w:val="24"/>
              </w:rPr>
              <w:t>7</w:t>
            </w:r>
            <w:r>
              <w:rPr>
                <w:rFonts w:cs="Times New Roman" w:hint="eastAsia"/>
                <w:color w:val="000000" w:themeColor="text1"/>
                <w:szCs w:val="24"/>
              </w:rPr>
              <w:t>天内完成，淹水水深应维持在不低于</w:t>
            </w:r>
            <w:r>
              <w:rPr>
                <w:rFonts w:cs="Times New Roman" w:hint="eastAsia"/>
                <w:color w:val="000000" w:themeColor="text1"/>
                <w:szCs w:val="24"/>
              </w:rPr>
              <w:t>60cm</w:t>
            </w:r>
            <w:r>
              <w:rPr>
                <w:rFonts w:cs="Times New Roman" w:hint="eastAsia"/>
                <w:color w:val="000000" w:themeColor="text1"/>
                <w:szCs w:val="24"/>
              </w:rPr>
              <w:t>。</w:t>
            </w:r>
          </w:p>
          <w:p w:rsidR="00F44A2D" w:rsidRDefault="00F44A2D">
            <w:pPr>
              <w:pStyle w:val="af0"/>
              <w:jc w:val="left"/>
              <w:rPr>
                <w:szCs w:val="24"/>
              </w:rPr>
            </w:pPr>
          </w:p>
        </w:tc>
        <w:tc>
          <w:tcPr>
            <w:tcW w:w="3897" w:type="dxa"/>
            <w:vAlign w:val="center"/>
          </w:tcPr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（</w:t>
            </w:r>
            <w:r>
              <w:rPr>
                <w:rFonts w:hint="eastAsia"/>
                <w:szCs w:val="24"/>
              </w:rPr>
              <w:t>1</w:t>
            </w:r>
            <w:r>
              <w:rPr>
                <w:rFonts w:hint="eastAsia"/>
                <w:szCs w:val="24"/>
              </w:rPr>
              <w:t>）在海堤以外的浅海滩涂区域设置的围堰和分隔子堰，应遵循相关的海域和滩涂使用规定。</w:t>
            </w:r>
          </w:p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（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）刈割需在互花米草种子成熟前完成，避免成熟种子撒落滩涂随潮水扩散；刈割形成的互花米草秸秆需深埋处置或移到岸上集中处理，避免形成海漂垃圾。</w:t>
            </w:r>
          </w:p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（</w:t>
            </w:r>
            <w:r>
              <w:rPr>
                <w:szCs w:val="24"/>
              </w:rPr>
              <w:t>3</w:t>
            </w:r>
            <w:r>
              <w:rPr>
                <w:rFonts w:hint="eastAsia"/>
                <w:szCs w:val="24"/>
              </w:rPr>
              <w:t>）淹水期间应及时补充蒸发和渗漏损失的水量，维持淹水水深。</w:t>
            </w:r>
          </w:p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（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）风浪或台风可能损毁围（子）堰，需要做好围（子）堰的检查和维护工作。</w:t>
            </w:r>
          </w:p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hint="eastAsia"/>
                <w:bCs w:val="0"/>
                <w:szCs w:val="24"/>
              </w:rPr>
              <w:t>（</w:t>
            </w:r>
            <w:r>
              <w:rPr>
                <w:bCs w:val="0"/>
                <w:szCs w:val="24"/>
              </w:rPr>
              <w:t>5</w:t>
            </w:r>
            <w:r>
              <w:rPr>
                <w:rFonts w:hint="eastAsia"/>
                <w:bCs w:val="0"/>
                <w:szCs w:val="24"/>
              </w:rPr>
              <w:t>）在互花米草除治工程结束且本土生境完全恢复后，根据实际情况和需要，拆除围（子）堰，恢复滩地自然状态。</w:t>
            </w:r>
          </w:p>
          <w:p w:rsidR="00F44A2D" w:rsidRDefault="00F44A2D">
            <w:pPr>
              <w:pStyle w:val="af0"/>
              <w:jc w:val="left"/>
              <w:rPr>
                <w:szCs w:val="24"/>
              </w:rPr>
            </w:pPr>
          </w:p>
        </w:tc>
      </w:tr>
      <w:tr w:rsidR="00F44A2D">
        <w:trPr>
          <w:trHeight w:val="355"/>
          <w:jc w:val="center"/>
        </w:trPr>
        <w:tc>
          <w:tcPr>
            <w:tcW w:w="55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</w:p>
        </w:tc>
        <w:tc>
          <w:tcPr>
            <w:tcW w:w="127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刈割</w:t>
            </w:r>
            <w:r>
              <w:rPr>
                <w:rFonts w:hint="eastAsia"/>
                <w:szCs w:val="24"/>
              </w:rPr>
              <w:t>+</w:t>
            </w:r>
            <w:r>
              <w:rPr>
                <w:rFonts w:hint="eastAsia"/>
                <w:szCs w:val="24"/>
              </w:rPr>
              <w:t>翻耕深埋</w:t>
            </w:r>
          </w:p>
        </w:tc>
        <w:tc>
          <w:tcPr>
            <w:tcW w:w="2328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适用于大面积互花米草分布且底质较硬，受潮水冲刷影响较小的中高潮滩区域。</w:t>
            </w:r>
          </w:p>
        </w:tc>
        <w:tc>
          <w:tcPr>
            <w:tcW w:w="5474" w:type="dxa"/>
            <w:vAlign w:val="center"/>
          </w:tcPr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/>
                <w:color w:val="000000" w:themeColor="text1"/>
                <w:szCs w:val="24"/>
              </w:rPr>
              <w:t>1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）刈割宜在每年的</w:t>
            </w:r>
            <w:r>
              <w:rPr>
                <w:rFonts w:cs="Times New Roman" w:hint="eastAsia"/>
                <w:color w:val="000000" w:themeColor="text1"/>
                <w:szCs w:val="24"/>
              </w:rPr>
              <w:t>5~10</w:t>
            </w:r>
            <w:r>
              <w:rPr>
                <w:rFonts w:cs="Times New Roman" w:hint="eastAsia"/>
                <w:color w:val="000000" w:themeColor="text1"/>
                <w:szCs w:val="24"/>
              </w:rPr>
              <w:t>月进行，且第一次刈割宜在扬花期之前进行，刈割后植株地上留茬高度≤</w:t>
            </w:r>
            <w:r>
              <w:rPr>
                <w:rFonts w:cs="Times New Roman" w:hint="eastAsia"/>
                <w:color w:val="000000" w:themeColor="text1"/>
                <w:szCs w:val="24"/>
              </w:rPr>
              <w:t>10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cm</w:t>
            </w:r>
            <w:r>
              <w:rPr>
                <w:rFonts w:cs="Times New Roman" w:hint="eastAsia"/>
                <w:color w:val="000000" w:themeColor="text1"/>
                <w:szCs w:val="24"/>
              </w:rPr>
              <w:t>。当植株重新生长到高度</w:t>
            </w:r>
            <w:r>
              <w:rPr>
                <w:rFonts w:cs="Times New Roman" w:hint="eastAsia"/>
                <w:color w:val="000000" w:themeColor="text1"/>
                <w:szCs w:val="24"/>
              </w:rPr>
              <w:t>20~30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 w:hint="eastAsia"/>
                <w:color w:val="000000" w:themeColor="text1"/>
                <w:szCs w:val="24"/>
              </w:rPr>
              <w:t>cm</w:t>
            </w:r>
            <w:r>
              <w:rPr>
                <w:rFonts w:cs="Times New Roman" w:hint="eastAsia"/>
                <w:color w:val="000000" w:themeColor="text1"/>
                <w:szCs w:val="24"/>
              </w:rPr>
              <w:t>时，应开展再次刈割，刈割不少于</w:t>
            </w:r>
            <w:r>
              <w:rPr>
                <w:rFonts w:cs="Times New Roman" w:hint="eastAsia"/>
                <w:color w:val="000000" w:themeColor="text1"/>
                <w:szCs w:val="24"/>
              </w:rPr>
              <w:t>3</w:t>
            </w:r>
            <w:r>
              <w:rPr>
                <w:rFonts w:cs="Times New Roman" w:hint="eastAsia"/>
                <w:color w:val="000000" w:themeColor="text1"/>
                <w:szCs w:val="24"/>
              </w:rPr>
              <w:t>次。单个治理单元（≤</w:t>
            </w:r>
            <w:r>
              <w:rPr>
                <w:rFonts w:cs="Times New Roman" w:hint="eastAsia"/>
                <w:color w:val="000000" w:themeColor="text1"/>
                <w:szCs w:val="24"/>
              </w:rPr>
              <w:t>100ha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）内植株应在</w:t>
            </w:r>
            <w:r>
              <w:rPr>
                <w:rFonts w:cs="Times New Roman" w:hint="eastAsia"/>
                <w:color w:val="000000" w:themeColor="text1"/>
                <w:szCs w:val="24"/>
              </w:rPr>
              <w:t>7</w:t>
            </w:r>
            <w:r>
              <w:rPr>
                <w:rFonts w:cs="Times New Roman" w:hint="eastAsia"/>
                <w:color w:val="000000" w:themeColor="text1"/>
                <w:szCs w:val="24"/>
              </w:rPr>
              <w:t>天内割完。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/>
                <w:color w:val="000000" w:themeColor="text1"/>
                <w:szCs w:val="24"/>
              </w:rPr>
              <w:t>2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）翻耕深埋宜在刈割后的</w:t>
            </w:r>
            <w:r>
              <w:rPr>
                <w:rFonts w:cs="Times New Roman" w:hint="eastAsia"/>
                <w:color w:val="000000" w:themeColor="text1"/>
                <w:szCs w:val="24"/>
              </w:rPr>
              <w:t>11</w:t>
            </w:r>
            <w:r>
              <w:rPr>
                <w:rFonts w:cs="Times New Roman" w:hint="eastAsia"/>
                <w:color w:val="000000" w:themeColor="text1"/>
                <w:szCs w:val="24"/>
              </w:rPr>
              <w:t>月</w:t>
            </w:r>
            <w:r>
              <w:rPr>
                <w:rFonts w:cs="Times New Roman" w:hint="eastAsia"/>
                <w:color w:val="000000" w:themeColor="text1"/>
                <w:szCs w:val="24"/>
              </w:rPr>
              <w:t>~</w:t>
            </w:r>
            <w:r>
              <w:rPr>
                <w:rFonts w:cs="Times New Roman" w:hint="eastAsia"/>
                <w:color w:val="000000" w:themeColor="text1"/>
                <w:szCs w:val="24"/>
              </w:rPr>
              <w:t>次年</w:t>
            </w:r>
            <w:r>
              <w:rPr>
                <w:rFonts w:cs="Times New Roman" w:hint="eastAsia"/>
                <w:color w:val="000000" w:themeColor="text1"/>
                <w:szCs w:val="24"/>
              </w:rPr>
              <w:t>1</w:t>
            </w:r>
            <w:r>
              <w:rPr>
                <w:rFonts w:cs="Times New Roman" w:hint="eastAsia"/>
                <w:color w:val="000000" w:themeColor="text1"/>
                <w:szCs w:val="24"/>
              </w:rPr>
              <w:t>月间进行，翻耕深度需达</w:t>
            </w:r>
            <w:r>
              <w:rPr>
                <w:rFonts w:cs="Times New Roman" w:hint="eastAsia"/>
                <w:color w:val="000000" w:themeColor="text1"/>
                <w:szCs w:val="24"/>
              </w:rPr>
              <w:t>30~50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 w:hint="eastAsia"/>
                <w:color w:val="000000" w:themeColor="text1"/>
                <w:szCs w:val="24"/>
              </w:rPr>
              <w:t>cm</w:t>
            </w:r>
            <w:r>
              <w:rPr>
                <w:rFonts w:cs="Times New Roman" w:hint="eastAsia"/>
                <w:color w:val="000000" w:themeColor="text1"/>
                <w:szCs w:val="24"/>
              </w:rPr>
              <w:t>，翻耕后清除根状茎，再翻耕使残留的根状茎长度尽可能小。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/>
                <w:color w:val="000000" w:themeColor="text1"/>
                <w:szCs w:val="24"/>
              </w:rPr>
              <w:t>3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）将翻耕后带有根状茎的表层土深埋，填埋深度不小于</w:t>
            </w:r>
            <w:r>
              <w:rPr>
                <w:rFonts w:cs="Times New Roman" w:hint="eastAsia"/>
                <w:color w:val="000000" w:themeColor="text1"/>
                <w:szCs w:val="24"/>
              </w:rPr>
              <w:t>150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 w:hint="eastAsia"/>
                <w:color w:val="000000" w:themeColor="text1"/>
                <w:szCs w:val="24"/>
              </w:rPr>
              <w:t>cm</w:t>
            </w:r>
            <w:r>
              <w:rPr>
                <w:rFonts w:cs="Times New Roman" w:hint="eastAsia"/>
                <w:color w:val="000000" w:themeColor="text1"/>
                <w:szCs w:val="24"/>
              </w:rPr>
              <w:t>，面层</w:t>
            </w:r>
            <w:proofErr w:type="gramStart"/>
            <w:r>
              <w:rPr>
                <w:rFonts w:cs="Times New Roman" w:hint="eastAsia"/>
                <w:color w:val="000000" w:themeColor="text1"/>
                <w:szCs w:val="24"/>
              </w:rPr>
              <w:t>覆素土</w:t>
            </w:r>
            <w:proofErr w:type="gramEnd"/>
            <w:r>
              <w:rPr>
                <w:rFonts w:cs="Times New Roman" w:hint="eastAsia"/>
                <w:color w:val="000000" w:themeColor="text1"/>
                <w:szCs w:val="24"/>
              </w:rPr>
              <w:t>厚度不小于</w:t>
            </w:r>
            <w:r>
              <w:rPr>
                <w:rFonts w:cs="Times New Roman" w:hint="eastAsia"/>
                <w:color w:val="000000" w:themeColor="text1"/>
                <w:szCs w:val="24"/>
              </w:rPr>
              <w:t>50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 w:hint="eastAsia"/>
                <w:color w:val="000000" w:themeColor="text1"/>
                <w:szCs w:val="24"/>
              </w:rPr>
              <w:t>cm</w:t>
            </w:r>
            <w:r>
              <w:rPr>
                <w:rFonts w:cs="Times New Roman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3897" w:type="dxa"/>
            <w:vAlign w:val="center"/>
          </w:tcPr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淤泥质较厚的滩涂不建议使用，以防挖掘机陷入淤泥之中。深埋深度不达标或挖掘作业不仔细导致繁殖体残留在表层土，会导致后期互花米草复发。</w:t>
            </w:r>
          </w:p>
        </w:tc>
      </w:tr>
      <w:tr w:rsidR="00F44A2D">
        <w:trPr>
          <w:trHeight w:val="355"/>
          <w:jc w:val="center"/>
        </w:trPr>
        <w:tc>
          <w:tcPr>
            <w:tcW w:w="55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44A2D" w:rsidRDefault="00772216">
            <w:pPr>
              <w:pStyle w:val="af0"/>
              <w:rPr>
                <w:szCs w:val="24"/>
              </w:rPr>
            </w:pPr>
            <w:r>
              <w:rPr>
                <w:rFonts w:hint="eastAsia"/>
                <w:szCs w:val="24"/>
              </w:rPr>
              <w:t>药剂治理</w:t>
            </w:r>
          </w:p>
        </w:tc>
        <w:tc>
          <w:tcPr>
            <w:tcW w:w="2328" w:type="dxa"/>
            <w:vAlign w:val="center"/>
          </w:tcPr>
          <w:p w:rsidR="00F44A2D" w:rsidRDefault="00772216">
            <w:pPr>
              <w:pStyle w:val="af0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适用于高、中、低潮滩，且潮水退却后</w:t>
            </w:r>
            <w:proofErr w:type="gramStart"/>
            <w:r>
              <w:rPr>
                <w:rFonts w:cs="Times New Roman" w:hint="eastAsia"/>
                <w:szCs w:val="24"/>
              </w:rPr>
              <w:t>露滩时间</w:t>
            </w:r>
            <w:proofErr w:type="gramEnd"/>
            <w:r>
              <w:rPr>
                <w:rFonts w:cs="Times New Roman" w:hint="eastAsia"/>
                <w:szCs w:val="24"/>
              </w:rPr>
              <w:t>6</w:t>
            </w:r>
            <w:r>
              <w:rPr>
                <w:rFonts w:cs="Times New Roman" w:hint="eastAsia"/>
                <w:szCs w:val="24"/>
              </w:rPr>
              <w:t>小时以上的区域，对底质环境条件无要求。</w:t>
            </w:r>
          </w:p>
          <w:p w:rsidR="00F44A2D" w:rsidRDefault="00F44A2D">
            <w:pPr>
              <w:pStyle w:val="af0"/>
              <w:rPr>
                <w:szCs w:val="24"/>
              </w:rPr>
            </w:pPr>
          </w:p>
        </w:tc>
        <w:tc>
          <w:tcPr>
            <w:tcW w:w="5474" w:type="dxa"/>
            <w:vAlign w:val="center"/>
          </w:tcPr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 w:hint="eastAsia"/>
                <w:color w:val="000000" w:themeColor="text1"/>
                <w:szCs w:val="24"/>
              </w:rPr>
              <w:t>1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）每年</w:t>
            </w:r>
            <w:r>
              <w:rPr>
                <w:rFonts w:cs="Times New Roman" w:hint="eastAsia"/>
                <w:color w:val="000000" w:themeColor="text1"/>
                <w:szCs w:val="24"/>
              </w:rPr>
              <w:t>6~9</w:t>
            </w:r>
            <w:r>
              <w:rPr>
                <w:rFonts w:cs="Times New Roman" w:hint="eastAsia"/>
                <w:color w:val="000000" w:themeColor="text1"/>
                <w:szCs w:val="24"/>
              </w:rPr>
              <w:t>月，在植株萌发到高</w:t>
            </w:r>
            <w:r>
              <w:rPr>
                <w:rFonts w:cs="Times New Roman" w:hint="eastAsia"/>
                <w:color w:val="000000" w:themeColor="text1"/>
                <w:szCs w:val="24"/>
              </w:rPr>
              <w:t>40 cm</w:t>
            </w:r>
            <w:r>
              <w:rPr>
                <w:rFonts w:cs="Times New Roman" w:hint="eastAsia"/>
                <w:color w:val="000000" w:themeColor="text1"/>
                <w:szCs w:val="24"/>
              </w:rPr>
              <w:t>以上时进行施药治理。首次施药宜在扬花期之前进行。</w:t>
            </w:r>
          </w:p>
          <w:p w:rsidR="00F44A2D" w:rsidRDefault="00772216">
            <w:pPr>
              <w:pStyle w:val="af0"/>
              <w:jc w:val="left"/>
              <w:rPr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 w:hint="eastAsia"/>
                <w:color w:val="000000" w:themeColor="text1"/>
                <w:szCs w:val="24"/>
              </w:rPr>
              <w:t>2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</w:t>
            </w:r>
            <w:r>
              <w:rPr>
                <w:rFonts w:cs="Times New Roman" w:hint="eastAsia"/>
                <w:color w:val="000000" w:themeColor="text1"/>
                <w:szCs w:val="24"/>
              </w:rPr>
              <w:t>25%</w:t>
            </w:r>
            <w:r>
              <w:rPr>
                <w:rFonts w:cs="Times New Roman" w:hint="eastAsia"/>
                <w:color w:val="000000" w:themeColor="text1"/>
                <w:szCs w:val="24"/>
              </w:rPr>
              <w:t>咪唑烟酸水剂制剂</w:t>
            </w:r>
            <w:r>
              <w:rPr>
                <w:rFonts w:cs="Times New Roman" w:hint="eastAsia"/>
                <w:szCs w:val="24"/>
              </w:rPr>
              <w:t>一次施药</w:t>
            </w:r>
            <w:r>
              <w:rPr>
                <w:rFonts w:cs="Times New Roman" w:hint="eastAsia"/>
                <w:color w:val="000000" w:themeColor="text1"/>
                <w:szCs w:val="24"/>
              </w:rPr>
              <w:t>用量为</w:t>
            </w:r>
            <w:r>
              <w:rPr>
                <w:rFonts w:cs="Times New Roman" w:hint="eastAsia"/>
                <w:color w:val="000000" w:themeColor="text1"/>
                <w:szCs w:val="24"/>
              </w:rPr>
              <w:t>1000~1500mL/</w:t>
            </w:r>
            <w:r>
              <w:rPr>
                <w:rFonts w:cs="Times New Roman" w:hint="eastAsia"/>
                <w:color w:val="000000" w:themeColor="text1"/>
                <w:szCs w:val="24"/>
              </w:rPr>
              <w:t>亩，</w:t>
            </w:r>
            <w:r>
              <w:rPr>
                <w:rFonts w:cs="Times New Roman" w:hint="eastAsia"/>
              </w:rPr>
              <w:t>一般一个生长季内至少施药</w:t>
            </w:r>
            <w:r>
              <w:rPr>
                <w:rFonts w:cs="Times New Roman" w:hint="eastAsia"/>
              </w:rPr>
              <w:t>1</w:t>
            </w:r>
            <w:r>
              <w:rPr>
                <w:rFonts w:cs="Times New Roman" w:hint="eastAsia"/>
              </w:rPr>
              <w:t>次</w:t>
            </w:r>
            <w:r>
              <w:rPr>
                <w:rFonts w:cs="Times New Roman" w:hint="eastAsia"/>
                <w:color w:val="000000" w:themeColor="text1"/>
                <w:szCs w:val="24"/>
              </w:rPr>
              <w:t>。一般情况下，无人机施药兑水</w:t>
            </w:r>
            <w:r>
              <w:rPr>
                <w:rFonts w:cs="Times New Roman" w:hint="eastAsia"/>
                <w:color w:val="000000" w:themeColor="text1"/>
                <w:szCs w:val="24"/>
              </w:rPr>
              <w:t>40~80 kg/</w:t>
            </w:r>
            <w:r>
              <w:rPr>
                <w:rFonts w:cs="Times New Roman" w:hint="eastAsia"/>
                <w:color w:val="000000" w:themeColor="text1"/>
                <w:szCs w:val="24"/>
              </w:rPr>
              <w:t>亩，并添加绿色安全环保的助剂。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 w:hint="eastAsia"/>
                <w:color w:val="000000" w:themeColor="text1"/>
                <w:szCs w:val="24"/>
              </w:rPr>
              <w:t>（</w:t>
            </w:r>
            <w:r>
              <w:rPr>
                <w:rFonts w:cs="Times New Roman" w:hint="eastAsia"/>
                <w:color w:val="000000" w:themeColor="text1"/>
                <w:szCs w:val="24"/>
              </w:rPr>
              <w:t>3</w:t>
            </w:r>
            <w:r>
              <w:rPr>
                <w:rFonts w:cs="Times New Roman" w:hint="eastAsia"/>
                <w:color w:val="000000" w:themeColor="text1"/>
                <w:szCs w:val="24"/>
              </w:rPr>
              <w:t>）</w:t>
            </w:r>
            <w:r>
              <w:rPr>
                <w:rFonts w:cs="Times New Roman" w:hint="eastAsia"/>
                <w:color w:val="000000" w:themeColor="text1"/>
                <w:szCs w:val="24"/>
              </w:rPr>
              <w:t>10.8%</w:t>
            </w:r>
            <w:r>
              <w:rPr>
                <w:rFonts w:cs="Times New Roman" w:hint="eastAsia"/>
                <w:color w:val="000000" w:themeColor="text1"/>
                <w:szCs w:val="24"/>
              </w:rPr>
              <w:t>高效氟</w:t>
            </w:r>
            <w:proofErr w:type="gramStart"/>
            <w:r>
              <w:rPr>
                <w:rFonts w:cs="Times New Roman" w:hint="eastAsia"/>
                <w:color w:val="000000" w:themeColor="text1"/>
                <w:szCs w:val="24"/>
              </w:rPr>
              <w:t>吡甲禾灵</w:t>
            </w:r>
            <w:proofErr w:type="gramEnd"/>
            <w:r>
              <w:rPr>
                <w:rFonts w:cs="Times New Roman" w:hint="eastAsia"/>
                <w:color w:val="000000" w:themeColor="text1"/>
                <w:szCs w:val="24"/>
              </w:rPr>
              <w:t>制剂</w:t>
            </w:r>
            <w:r>
              <w:rPr>
                <w:rFonts w:cs="Times New Roman" w:hint="eastAsia"/>
                <w:szCs w:val="24"/>
              </w:rPr>
              <w:t>一次施药</w:t>
            </w:r>
            <w:r>
              <w:rPr>
                <w:rFonts w:cs="Times New Roman" w:hint="eastAsia"/>
                <w:color w:val="000000" w:themeColor="text1"/>
                <w:szCs w:val="24"/>
              </w:rPr>
              <w:t>用量为</w:t>
            </w:r>
            <w:r>
              <w:rPr>
                <w:rFonts w:cs="Times New Roman" w:hint="eastAsia"/>
                <w:color w:val="000000" w:themeColor="text1"/>
                <w:szCs w:val="24"/>
              </w:rPr>
              <w:t>120~180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 w:hint="eastAsia"/>
                <w:color w:val="000000" w:themeColor="text1"/>
                <w:szCs w:val="24"/>
              </w:rPr>
              <w:t>mL</w:t>
            </w:r>
            <w:proofErr w:type="spellEnd"/>
            <w:r>
              <w:rPr>
                <w:rFonts w:cs="Times New Roman" w:hint="eastAsia"/>
                <w:color w:val="000000" w:themeColor="text1"/>
                <w:szCs w:val="24"/>
              </w:rPr>
              <w:t>/</w:t>
            </w:r>
            <w:r>
              <w:rPr>
                <w:rFonts w:cs="Times New Roman" w:hint="eastAsia"/>
                <w:color w:val="000000" w:themeColor="text1"/>
                <w:szCs w:val="24"/>
              </w:rPr>
              <w:t>亩，</w:t>
            </w:r>
            <w:r>
              <w:rPr>
                <w:rFonts w:cs="Times New Roman" w:hint="eastAsia"/>
              </w:rPr>
              <w:t>一般一个生长季内至少施药</w:t>
            </w:r>
            <w:r>
              <w:rPr>
                <w:rFonts w:cs="Times New Roman" w:hint="eastAsia"/>
              </w:rPr>
              <w:t>3</w:t>
            </w:r>
            <w:r>
              <w:rPr>
                <w:rFonts w:cs="Times New Roman" w:hint="eastAsia"/>
              </w:rPr>
              <w:t>次</w:t>
            </w:r>
            <w:r>
              <w:rPr>
                <w:rFonts w:cs="Times New Roman" w:hint="eastAsia"/>
                <w:color w:val="000000" w:themeColor="text1"/>
                <w:szCs w:val="24"/>
              </w:rPr>
              <w:t>。一般情况下，无人机施药兑水</w:t>
            </w:r>
            <w:r>
              <w:rPr>
                <w:rFonts w:cs="Times New Roman" w:hint="eastAsia"/>
                <w:color w:val="000000" w:themeColor="text1"/>
                <w:szCs w:val="24"/>
              </w:rPr>
              <w:t>1~2kg/</w:t>
            </w:r>
            <w:r>
              <w:rPr>
                <w:rFonts w:cs="Times New Roman" w:hint="eastAsia"/>
                <w:color w:val="000000" w:themeColor="text1"/>
                <w:szCs w:val="24"/>
              </w:rPr>
              <w:t>亩，并加入有机硅类等展布剂。若采用人工背负式喷雾器施药宜兑水</w:t>
            </w:r>
            <w:r>
              <w:rPr>
                <w:rFonts w:cs="Times New Roman" w:hint="eastAsia"/>
                <w:color w:val="000000" w:themeColor="text1"/>
                <w:szCs w:val="24"/>
              </w:rPr>
              <w:t>30~45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 w:hint="eastAsia"/>
                <w:color w:val="000000" w:themeColor="text1"/>
                <w:szCs w:val="24"/>
              </w:rPr>
              <w:t>kg/</w:t>
            </w:r>
            <w:r>
              <w:rPr>
                <w:rFonts w:cs="Times New Roman" w:hint="eastAsia"/>
                <w:color w:val="000000" w:themeColor="text1"/>
                <w:szCs w:val="24"/>
              </w:rPr>
              <w:t>亩。</w:t>
            </w:r>
          </w:p>
          <w:p w:rsidR="00F44A2D" w:rsidRDefault="00F44A2D">
            <w:pPr>
              <w:pStyle w:val="af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897" w:type="dxa"/>
            <w:vAlign w:val="center"/>
          </w:tcPr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 w:hint="eastAsia"/>
                <w:szCs w:val="24"/>
              </w:rPr>
              <w:t>）施药前尽量清除遮掩生长植株的凋落物。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2</w:t>
            </w:r>
            <w:r>
              <w:rPr>
                <w:rFonts w:cs="Times New Roman" w:hint="eastAsia"/>
                <w:szCs w:val="24"/>
              </w:rPr>
              <w:t>）治理时应喷雾均匀。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3</w:t>
            </w:r>
            <w:r>
              <w:rPr>
                <w:rFonts w:cs="Times New Roman" w:hint="eastAsia"/>
                <w:szCs w:val="24"/>
              </w:rPr>
              <w:t>）喷药后</w:t>
            </w:r>
            <w:r>
              <w:rPr>
                <w:rFonts w:cs="Times New Roman" w:hint="eastAsia"/>
                <w:szCs w:val="24"/>
              </w:rPr>
              <w:t>20</w:t>
            </w:r>
            <w:r>
              <w:rPr>
                <w:rFonts w:cs="Times New Roman" w:hint="eastAsia"/>
                <w:szCs w:val="24"/>
              </w:rPr>
              <w:t>天检查防效，可根据情况对残留活体植株进行补充喷雾。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4</w:t>
            </w:r>
            <w:r>
              <w:rPr>
                <w:rFonts w:cs="Times New Roman" w:hint="eastAsia"/>
                <w:szCs w:val="24"/>
              </w:rPr>
              <w:t>）喷药作业时应该注意风向、风速，现场风力达</w:t>
            </w:r>
            <w:r>
              <w:rPr>
                <w:rFonts w:cs="Times New Roman" w:hint="eastAsia"/>
                <w:szCs w:val="24"/>
              </w:rPr>
              <w:t>5</w:t>
            </w:r>
            <w:r>
              <w:rPr>
                <w:rFonts w:cs="Times New Roman" w:hint="eastAsia"/>
                <w:szCs w:val="24"/>
              </w:rPr>
              <w:t>级时应停止喷药。避免烈日高温下施药。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5</w:t>
            </w:r>
            <w:r>
              <w:rPr>
                <w:rFonts w:cs="Times New Roman" w:hint="eastAsia"/>
                <w:szCs w:val="24"/>
              </w:rPr>
              <w:t>）</w:t>
            </w:r>
            <w:r>
              <w:rPr>
                <w:rFonts w:cs="Times New Roman" w:hint="eastAsia"/>
                <w:szCs w:val="24"/>
              </w:rPr>
              <w:t>25%</w:t>
            </w:r>
            <w:r>
              <w:rPr>
                <w:rFonts w:cs="Times New Roman" w:hint="eastAsia"/>
                <w:szCs w:val="24"/>
              </w:rPr>
              <w:t>咪唑烟酸水剂（</w:t>
            </w:r>
            <w:proofErr w:type="gramStart"/>
            <w:r>
              <w:rPr>
                <w:rFonts w:cs="Times New Roman" w:hint="eastAsia"/>
                <w:szCs w:val="24"/>
              </w:rPr>
              <w:t>抗米净</w:t>
            </w:r>
            <w:proofErr w:type="gramEnd"/>
            <w:r>
              <w:rPr>
                <w:rFonts w:cs="Times New Roman" w:hint="eastAsia"/>
                <w:szCs w:val="24"/>
              </w:rPr>
              <w:t>）对禾本科、莎草科、阔叶杂草均有明显的抑制作用；</w:t>
            </w:r>
            <w:r>
              <w:rPr>
                <w:rFonts w:cs="Times New Roman" w:hint="eastAsia"/>
                <w:szCs w:val="24"/>
              </w:rPr>
              <w:t>10.8%</w:t>
            </w:r>
            <w:r>
              <w:rPr>
                <w:rFonts w:cs="Times New Roman" w:hint="eastAsia"/>
                <w:szCs w:val="24"/>
              </w:rPr>
              <w:t>高效氟</w:t>
            </w:r>
            <w:proofErr w:type="gramStart"/>
            <w:r>
              <w:rPr>
                <w:rFonts w:cs="Times New Roman" w:hint="eastAsia"/>
                <w:szCs w:val="24"/>
              </w:rPr>
              <w:t>吡甲禾灵</w:t>
            </w:r>
            <w:proofErr w:type="gramEnd"/>
            <w:r>
              <w:rPr>
                <w:rFonts w:cs="Times New Roman" w:hint="eastAsia"/>
                <w:szCs w:val="24"/>
              </w:rPr>
              <w:t>（高效盖草能）对禾本科作物敏感，对海三棱藨草无影响。建议在有海三棱藨草分布的区域采用高效盖草能治理互花米草。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lastRenderedPageBreak/>
              <w:t>（</w:t>
            </w:r>
            <w:r>
              <w:rPr>
                <w:rFonts w:cs="Times New Roman" w:hint="eastAsia"/>
                <w:szCs w:val="24"/>
              </w:rPr>
              <w:t>6</w:t>
            </w:r>
            <w:r>
              <w:rPr>
                <w:rFonts w:cs="Times New Roman" w:hint="eastAsia"/>
                <w:szCs w:val="24"/>
              </w:rPr>
              <w:t>）大面积施药时应分片分区，错峰间隔施药，降低环境风险。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7</w:t>
            </w:r>
            <w:r>
              <w:rPr>
                <w:rFonts w:cs="Times New Roman" w:hint="eastAsia"/>
                <w:szCs w:val="24"/>
              </w:rPr>
              <w:t>）应按</w:t>
            </w:r>
            <w:r>
              <w:rPr>
                <w:rFonts w:hint="eastAsia"/>
              </w:rPr>
              <w:t>《农药安全使用规范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总则》（</w:t>
            </w:r>
            <w:r>
              <w:t>NY/T 1276</w:t>
            </w:r>
            <w:r>
              <w:rPr>
                <w:rFonts w:hint="eastAsia"/>
              </w:rPr>
              <w:t>）</w:t>
            </w:r>
            <w:r>
              <w:rPr>
                <w:rFonts w:cs="Times New Roman" w:hint="eastAsia"/>
                <w:szCs w:val="24"/>
              </w:rPr>
              <w:t>的规定，做好药剂使用过程中的安全防护。</w:t>
            </w:r>
          </w:p>
          <w:p w:rsidR="00F44A2D" w:rsidRDefault="00772216">
            <w:pPr>
              <w:pStyle w:val="af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8</w:t>
            </w:r>
            <w:r>
              <w:rPr>
                <w:rFonts w:cs="Times New Roman" w:hint="eastAsia"/>
                <w:szCs w:val="24"/>
              </w:rPr>
              <w:t>）在生态红线、保护区、水源地等生态敏感区以及周边有农田、水产养殖区慎用此法。实施前科学论证评估，实施中加强监管监督，实施后长期跟踪监测评估。</w:t>
            </w:r>
          </w:p>
          <w:p w:rsidR="00F44A2D" w:rsidRDefault="00F44A2D">
            <w:pPr>
              <w:pStyle w:val="af0"/>
              <w:jc w:val="left"/>
              <w:rPr>
                <w:rFonts w:cs="Times New Roman"/>
                <w:szCs w:val="24"/>
              </w:rPr>
            </w:pPr>
          </w:p>
        </w:tc>
      </w:tr>
    </w:tbl>
    <w:p w:rsidR="00F44A2D" w:rsidRDefault="00F44A2D">
      <w:pPr>
        <w:ind w:firstLine="560"/>
        <w:sectPr w:rsidR="00F44A2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44A2D" w:rsidRDefault="00772216">
      <w:pPr>
        <w:pStyle w:val="2"/>
        <w:numPr>
          <w:ilvl w:val="0"/>
          <w:numId w:val="0"/>
        </w:numPr>
        <w:ind w:left="643"/>
        <w:jc w:val="center"/>
      </w:pPr>
      <w:bookmarkStart w:id="214" w:name="_Toc10454"/>
      <w:bookmarkStart w:id="215" w:name="_Toc23299"/>
      <w:bookmarkStart w:id="216" w:name="_Toc140565557"/>
      <w:bookmarkStart w:id="217" w:name="_Toc6013"/>
      <w:bookmarkStart w:id="218" w:name="_Toc1319"/>
      <w:bookmarkStart w:id="219" w:name="_Toc31531"/>
      <w:r>
        <w:rPr>
          <w:rFonts w:hint="eastAsia"/>
        </w:rPr>
        <w:lastRenderedPageBreak/>
        <w:t>附表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现场检查一览表</w:t>
      </w:r>
      <w:bookmarkEnd w:id="214"/>
      <w:bookmarkEnd w:id="215"/>
      <w:bookmarkEnd w:id="216"/>
      <w:bookmarkEnd w:id="217"/>
      <w:bookmarkEnd w:id="218"/>
      <w:bookmarkEnd w:id="219"/>
    </w:p>
    <w:tbl>
      <w:tblPr>
        <w:tblStyle w:val="a9"/>
        <w:tblW w:w="0" w:type="auto"/>
        <w:tblLook w:val="04A0"/>
      </w:tblPr>
      <w:tblGrid>
        <w:gridCol w:w="646"/>
        <w:gridCol w:w="1307"/>
        <w:gridCol w:w="1276"/>
        <w:gridCol w:w="1101"/>
        <w:gridCol w:w="1218"/>
        <w:gridCol w:w="1012"/>
        <w:gridCol w:w="1012"/>
        <w:gridCol w:w="1115"/>
        <w:gridCol w:w="1247"/>
        <w:gridCol w:w="1072"/>
        <w:gridCol w:w="1898"/>
        <w:gridCol w:w="1171"/>
      </w:tblGrid>
      <w:tr w:rsidR="00F44A2D">
        <w:trPr>
          <w:trHeight w:val="1838"/>
        </w:trPr>
        <w:tc>
          <w:tcPr>
            <w:tcW w:w="646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序号</w:t>
            </w:r>
          </w:p>
        </w:tc>
        <w:tc>
          <w:tcPr>
            <w:tcW w:w="1307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行政区域</w:t>
            </w:r>
          </w:p>
        </w:tc>
        <w:tc>
          <w:tcPr>
            <w:tcW w:w="1276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实施单位</w:t>
            </w:r>
          </w:p>
        </w:tc>
        <w:tc>
          <w:tcPr>
            <w:tcW w:w="1101" w:type="dxa"/>
            <w:vAlign w:val="center"/>
          </w:tcPr>
          <w:p w:rsidR="00F44A2D" w:rsidRDefault="00772216">
            <w:pPr>
              <w:pStyle w:val="af0"/>
            </w:pPr>
            <w:proofErr w:type="gramStart"/>
            <w:r>
              <w:rPr>
                <w:rFonts w:hint="eastAsia"/>
              </w:rPr>
              <w:t>图斑号</w:t>
            </w:r>
            <w:proofErr w:type="gramEnd"/>
          </w:p>
        </w:tc>
        <w:tc>
          <w:tcPr>
            <w:tcW w:w="1218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地理位置</w:t>
            </w:r>
          </w:p>
        </w:tc>
        <w:tc>
          <w:tcPr>
            <w:tcW w:w="1012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经度</w:t>
            </w:r>
          </w:p>
        </w:tc>
        <w:tc>
          <w:tcPr>
            <w:tcW w:w="1012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纬度</w:t>
            </w:r>
          </w:p>
        </w:tc>
        <w:tc>
          <w:tcPr>
            <w:tcW w:w="1115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分布面积（亩）</w:t>
            </w:r>
          </w:p>
        </w:tc>
        <w:tc>
          <w:tcPr>
            <w:tcW w:w="1247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治理面积（亩）</w:t>
            </w:r>
          </w:p>
        </w:tc>
        <w:tc>
          <w:tcPr>
            <w:tcW w:w="1072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治理方法</w:t>
            </w:r>
          </w:p>
        </w:tc>
        <w:tc>
          <w:tcPr>
            <w:tcW w:w="1898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单位面积互花米草</w:t>
            </w:r>
            <w:proofErr w:type="gramStart"/>
            <w:r>
              <w:rPr>
                <w:rFonts w:hint="eastAsia"/>
              </w:rPr>
              <w:t>残存活株数量</w:t>
            </w:r>
            <w:proofErr w:type="gramEnd"/>
            <w:r>
              <w:rPr>
                <w:rFonts w:hint="eastAsia"/>
              </w:rPr>
              <w:t>（株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亩）</w:t>
            </w:r>
          </w:p>
        </w:tc>
        <w:tc>
          <w:tcPr>
            <w:tcW w:w="1171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是否合格</w:t>
            </w:r>
          </w:p>
        </w:tc>
      </w:tr>
      <w:tr w:rsidR="00F44A2D">
        <w:trPr>
          <w:trHeight w:val="581"/>
        </w:trPr>
        <w:tc>
          <w:tcPr>
            <w:tcW w:w="64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0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7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0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1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15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4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7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89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71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612"/>
        </w:trPr>
        <w:tc>
          <w:tcPr>
            <w:tcW w:w="64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0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7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0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1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15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4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7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89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71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612"/>
        </w:trPr>
        <w:tc>
          <w:tcPr>
            <w:tcW w:w="64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0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7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0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1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15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4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7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89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71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612"/>
        </w:trPr>
        <w:tc>
          <w:tcPr>
            <w:tcW w:w="64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0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7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0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1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15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4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7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89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71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581"/>
        </w:trPr>
        <w:tc>
          <w:tcPr>
            <w:tcW w:w="64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0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7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0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1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15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4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7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89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71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581"/>
        </w:trPr>
        <w:tc>
          <w:tcPr>
            <w:tcW w:w="64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0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76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0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1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1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15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24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072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898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171" w:type="dxa"/>
            <w:vAlign w:val="center"/>
          </w:tcPr>
          <w:p w:rsidR="00F44A2D" w:rsidRDefault="00F44A2D">
            <w:pPr>
              <w:pStyle w:val="af0"/>
            </w:pPr>
          </w:p>
        </w:tc>
      </w:tr>
    </w:tbl>
    <w:p w:rsidR="00F44A2D" w:rsidRDefault="00F44A2D">
      <w:pPr>
        <w:ind w:firstLine="560"/>
      </w:pPr>
    </w:p>
    <w:p w:rsidR="00F44A2D" w:rsidRDefault="00F44A2D">
      <w:pPr>
        <w:pStyle w:val="2"/>
        <w:numPr>
          <w:ilvl w:val="0"/>
          <w:numId w:val="0"/>
        </w:numPr>
        <w:ind w:left="643"/>
        <w:sectPr w:rsidR="00F44A2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44A2D" w:rsidRDefault="00772216">
      <w:pPr>
        <w:pStyle w:val="2"/>
        <w:numPr>
          <w:ilvl w:val="0"/>
          <w:numId w:val="0"/>
        </w:numPr>
        <w:ind w:left="643"/>
      </w:pPr>
      <w:bookmarkStart w:id="220" w:name="_Toc11292"/>
      <w:bookmarkStart w:id="221" w:name="_Toc18357"/>
      <w:bookmarkStart w:id="222" w:name="_Toc15531"/>
      <w:bookmarkStart w:id="223" w:name="_Toc140565558"/>
      <w:bookmarkStart w:id="224" w:name="_Toc30368"/>
      <w:bookmarkStart w:id="225" w:name="_Toc9980"/>
      <w:r>
        <w:rPr>
          <w:rFonts w:hint="eastAsia"/>
        </w:rPr>
        <w:lastRenderedPageBreak/>
        <w:t>附表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互花米草除治情况统计表</w:t>
      </w:r>
      <w:bookmarkEnd w:id="220"/>
      <w:bookmarkEnd w:id="221"/>
      <w:bookmarkEnd w:id="222"/>
      <w:bookmarkEnd w:id="223"/>
      <w:bookmarkEnd w:id="224"/>
      <w:bookmarkEnd w:id="225"/>
    </w:p>
    <w:tbl>
      <w:tblPr>
        <w:tblStyle w:val="a9"/>
        <w:tblW w:w="8344" w:type="dxa"/>
        <w:tblLook w:val="04A0"/>
      </w:tblPr>
      <w:tblGrid>
        <w:gridCol w:w="1391"/>
        <w:gridCol w:w="1391"/>
        <w:gridCol w:w="1390"/>
        <w:gridCol w:w="981"/>
        <w:gridCol w:w="1487"/>
        <w:gridCol w:w="1704"/>
      </w:tblGrid>
      <w:tr w:rsidR="00F44A2D">
        <w:trPr>
          <w:trHeight w:val="524"/>
        </w:trPr>
        <w:tc>
          <w:tcPr>
            <w:tcW w:w="1391" w:type="dxa"/>
            <w:vMerge w:val="restart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统计单位</w:t>
            </w:r>
          </w:p>
        </w:tc>
        <w:tc>
          <w:tcPr>
            <w:tcW w:w="1391" w:type="dxa"/>
            <w:vMerge w:val="restart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计划年度</w:t>
            </w:r>
          </w:p>
        </w:tc>
        <w:tc>
          <w:tcPr>
            <w:tcW w:w="1390" w:type="dxa"/>
            <w:vMerge w:val="restart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验收年度</w:t>
            </w:r>
          </w:p>
        </w:tc>
        <w:tc>
          <w:tcPr>
            <w:tcW w:w="4172" w:type="dxa"/>
            <w:gridSpan w:val="3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除治面积（亩）</w:t>
            </w:r>
          </w:p>
        </w:tc>
      </w:tr>
      <w:tr w:rsidR="00F44A2D">
        <w:trPr>
          <w:trHeight w:val="1049"/>
        </w:trPr>
        <w:tc>
          <w:tcPr>
            <w:tcW w:w="1391" w:type="dxa"/>
            <w:vMerge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Merge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Merge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小计</w:t>
            </w:r>
          </w:p>
        </w:tc>
        <w:tc>
          <w:tcPr>
            <w:tcW w:w="1487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合格面积</w:t>
            </w:r>
          </w:p>
        </w:tc>
        <w:tc>
          <w:tcPr>
            <w:tcW w:w="1704" w:type="dxa"/>
            <w:vAlign w:val="center"/>
          </w:tcPr>
          <w:p w:rsidR="00F44A2D" w:rsidRDefault="00772216">
            <w:pPr>
              <w:pStyle w:val="af0"/>
            </w:pPr>
            <w:r>
              <w:rPr>
                <w:rFonts w:hint="eastAsia"/>
              </w:rPr>
              <w:t>不合格面积</w:t>
            </w:r>
          </w:p>
        </w:tc>
      </w:tr>
      <w:tr w:rsidR="00F44A2D">
        <w:trPr>
          <w:trHeight w:val="524"/>
        </w:trPr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48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704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524"/>
        </w:trPr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48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704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497"/>
        </w:trPr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48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704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524"/>
        </w:trPr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48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704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524"/>
        </w:trPr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48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704" w:type="dxa"/>
            <w:vAlign w:val="center"/>
          </w:tcPr>
          <w:p w:rsidR="00F44A2D" w:rsidRDefault="00F44A2D">
            <w:pPr>
              <w:pStyle w:val="af0"/>
            </w:pPr>
          </w:p>
        </w:tc>
      </w:tr>
      <w:tr w:rsidR="00F44A2D">
        <w:trPr>
          <w:trHeight w:val="497"/>
        </w:trPr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390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981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487" w:type="dxa"/>
            <w:vAlign w:val="center"/>
          </w:tcPr>
          <w:p w:rsidR="00F44A2D" w:rsidRDefault="00F44A2D">
            <w:pPr>
              <w:pStyle w:val="af0"/>
            </w:pPr>
          </w:p>
        </w:tc>
        <w:tc>
          <w:tcPr>
            <w:tcW w:w="1704" w:type="dxa"/>
            <w:vAlign w:val="center"/>
          </w:tcPr>
          <w:p w:rsidR="00F44A2D" w:rsidRDefault="00F44A2D">
            <w:pPr>
              <w:pStyle w:val="af0"/>
            </w:pPr>
          </w:p>
        </w:tc>
      </w:tr>
    </w:tbl>
    <w:p w:rsidR="00F44A2D" w:rsidRDefault="00772216">
      <w:pPr>
        <w:ind w:firstLine="560"/>
      </w:pPr>
      <w:r>
        <w:rPr>
          <w:rFonts w:hint="eastAsia"/>
        </w:rPr>
        <w:t>注：</w:t>
      </w:r>
    </w:p>
    <w:sectPr w:rsidR="00F44A2D" w:rsidSect="00F44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18A" w:rsidRDefault="0023618A">
      <w:pPr>
        <w:spacing w:line="240" w:lineRule="auto"/>
        <w:ind w:firstLine="560"/>
      </w:pPr>
      <w:r>
        <w:separator/>
      </w:r>
    </w:p>
  </w:endnote>
  <w:endnote w:type="continuationSeparator" w:id="0">
    <w:p w:rsidR="0023618A" w:rsidRDefault="0023618A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F44A2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8E6" w:rsidRDefault="00DD48E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F44A2D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802535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 filled="f" stroked="f" strokeweight=".5pt">
          <v:textbox style="mso-fit-shape-to-text:t" inset="0,0,0,0">
            <w:txbxContent>
              <w:p w:rsidR="00F44A2D" w:rsidRDefault="00802535">
                <w:pPr>
                  <w:pStyle w:val="a5"/>
                </w:pPr>
                <w:r>
                  <w:fldChar w:fldCharType="begin"/>
                </w:r>
                <w:r w:rsidR="00772216">
                  <w:instrText xml:space="preserve"> PAGE  \* MERGEFORMAT </w:instrText>
                </w:r>
                <w:r>
                  <w:fldChar w:fldCharType="separate"/>
                </w:r>
                <w:r w:rsidR="002535DC">
                  <w:rPr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802535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 filled="f" stroked="f" strokeweight=".5pt">
          <v:textbox style="mso-fit-shape-to-text:t" inset="0,0,0,0">
            <w:txbxContent>
              <w:p w:rsidR="00F44A2D" w:rsidRDefault="00802535">
                <w:pPr>
                  <w:pStyle w:val="a5"/>
                </w:pPr>
                <w:r>
                  <w:fldChar w:fldCharType="begin"/>
                </w:r>
                <w:r w:rsidR="00772216">
                  <w:instrText xml:space="preserve"> PAGE  \* MERGEFORMAT </w:instrText>
                </w:r>
                <w:r>
                  <w:fldChar w:fldCharType="separate"/>
                </w:r>
                <w:r w:rsidR="002535DC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18A" w:rsidRDefault="0023618A">
      <w:pPr>
        <w:spacing w:line="240" w:lineRule="auto"/>
        <w:ind w:firstLine="560"/>
      </w:pPr>
      <w:r>
        <w:separator/>
      </w:r>
    </w:p>
  </w:footnote>
  <w:footnote w:type="continuationSeparator" w:id="0">
    <w:p w:rsidR="0023618A" w:rsidRDefault="0023618A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F44A2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8E6" w:rsidRDefault="00DD48E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F44A2D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A2D" w:rsidRDefault="00772216">
    <w:pPr>
      <w:pStyle w:val="a6"/>
      <w:pBdr>
        <w:bottom w:val="single" w:sz="4" w:space="1" w:color="auto"/>
      </w:pBdr>
    </w:pPr>
    <w:r>
      <w:rPr>
        <w:rFonts w:hint="eastAsia"/>
      </w:rPr>
      <w:t>上海市互花米</w:t>
    </w:r>
    <w:proofErr w:type="gramStart"/>
    <w:r>
      <w:rPr>
        <w:rFonts w:hint="eastAsia"/>
      </w:rPr>
      <w:t>草治理</w:t>
    </w:r>
    <w:proofErr w:type="gramEnd"/>
    <w:r>
      <w:rPr>
        <w:rFonts w:hint="eastAsia"/>
      </w:rPr>
      <w:t>技术手册（第一版）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2990FC"/>
    <w:multiLevelType w:val="singleLevel"/>
    <w:tmpl w:val="BF2990FC"/>
    <w:lvl w:ilvl="0">
      <w:start w:val="1"/>
      <w:numFmt w:val="decimal"/>
      <w:suff w:val="nothing"/>
      <w:lvlText w:val="（%1）"/>
      <w:lvlJc w:val="left"/>
    </w:lvl>
  </w:abstractNum>
  <w:abstractNum w:abstractNumId="1">
    <w:nsid w:val="DECD3883"/>
    <w:multiLevelType w:val="multilevel"/>
    <w:tmpl w:val="DECD3883"/>
    <w:lvl w:ilvl="0">
      <w:start w:val="1"/>
      <w:numFmt w:val="decimal"/>
      <w:pStyle w:val="1"/>
      <w:isLgl/>
      <w:suff w:val="space"/>
      <w:lvlText w:val="%1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sz w:val="36"/>
        <w:szCs w:val="36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sz w:val="32"/>
        <w:szCs w:val="32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sz w:val="30"/>
        <w:szCs w:val="30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ascii="Times New Roman" w:eastAsia="宋体" w:hAnsi="Times New Roman" w:cs="Times New Roman" w:hint="default"/>
        <w:bCs/>
        <w:sz w:val="28"/>
        <w:szCs w:val="28"/>
      </w:rPr>
    </w:lvl>
    <w:lvl w:ilvl="4">
      <w:start w:val="1"/>
      <w:numFmt w:val="decimal"/>
      <w:suff w:val="space"/>
      <w:lvlText w:val="（%5）"/>
      <w:lvlJc w:val="left"/>
      <w:pPr>
        <w:ind w:left="1008" w:hanging="1008"/>
      </w:pPr>
      <w:rPr>
        <w:rFonts w:ascii="Times New Roman" w:eastAsia="宋体" w:hAnsi="Times New Roman" w:cs="宋体"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Q0MDRlZGU5MzlkYmVhNmQ3ZDkwOGFiNjRlNjE5ZjAifQ=="/>
  </w:docVars>
  <w:rsids>
    <w:rsidRoot w:val="320A71DF"/>
    <w:rsid w:val="000005F9"/>
    <w:rsid w:val="00012C01"/>
    <w:rsid w:val="00013594"/>
    <w:rsid w:val="00014B69"/>
    <w:rsid w:val="00017F95"/>
    <w:rsid w:val="0003183B"/>
    <w:rsid w:val="00051820"/>
    <w:rsid w:val="000B75E9"/>
    <w:rsid w:val="000D5876"/>
    <w:rsid w:val="000D5E8E"/>
    <w:rsid w:val="00113602"/>
    <w:rsid w:val="0011431A"/>
    <w:rsid w:val="00117C99"/>
    <w:rsid w:val="00124EDD"/>
    <w:rsid w:val="0014197C"/>
    <w:rsid w:val="00147587"/>
    <w:rsid w:val="001745A6"/>
    <w:rsid w:val="001C297E"/>
    <w:rsid w:val="001C66EB"/>
    <w:rsid w:val="001D00B7"/>
    <w:rsid w:val="001E3E61"/>
    <w:rsid w:val="001E4AC7"/>
    <w:rsid w:val="001F1ECA"/>
    <w:rsid w:val="001F231B"/>
    <w:rsid w:val="00200D7C"/>
    <w:rsid w:val="00236073"/>
    <w:rsid w:val="0023618A"/>
    <w:rsid w:val="00241881"/>
    <w:rsid w:val="00242F95"/>
    <w:rsid w:val="00247D7F"/>
    <w:rsid w:val="002535DC"/>
    <w:rsid w:val="00260093"/>
    <w:rsid w:val="002849CD"/>
    <w:rsid w:val="00297B70"/>
    <w:rsid w:val="002B5532"/>
    <w:rsid w:val="002C28A2"/>
    <w:rsid w:val="002E1519"/>
    <w:rsid w:val="002E1D70"/>
    <w:rsid w:val="002E1E66"/>
    <w:rsid w:val="00301CBB"/>
    <w:rsid w:val="00314C0A"/>
    <w:rsid w:val="00340F0F"/>
    <w:rsid w:val="003821A0"/>
    <w:rsid w:val="00386155"/>
    <w:rsid w:val="00386422"/>
    <w:rsid w:val="00386BBB"/>
    <w:rsid w:val="00387201"/>
    <w:rsid w:val="003A2BD0"/>
    <w:rsid w:val="003B294A"/>
    <w:rsid w:val="003D1905"/>
    <w:rsid w:val="003E4E67"/>
    <w:rsid w:val="003E502D"/>
    <w:rsid w:val="00400FDC"/>
    <w:rsid w:val="00411767"/>
    <w:rsid w:val="00435062"/>
    <w:rsid w:val="004412F7"/>
    <w:rsid w:val="00480FDE"/>
    <w:rsid w:val="004845EC"/>
    <w:rsid w:val="004A05FC"/>
    <w:rsid w:val="004A4F10"/>
    <w:rsid w:val="004D3FFF"/>
    <w:rsid w:val="00501FDD"/>
    <w:rsid w:val="005074B3"/>
    <w:rsid w:val="00511906"/>
    <w:rsid w:val="00516A43"/>
    <w:rsid w:val="0052119A"/>
    <w:rsid w:val="00525357"/>
    <w:rsid w:val="0052564E"/>
    <w:rsid w:val="00541C40"/>
    <w:rsid w:val="00562FCF"/>
    <w:rsid w:val="00566E76"/>
    <w:rsid w:val="00577489"/>
    <w:rsid w:val="00584657"/>
    <w:rsid w:val="0059461A"/>
    <w:rsid w:val="005A154B"/>
    <w:rsid w:val="005C0E93"/>
    <w:rsid w:val="005D3E1A"/>
    <w:rsid w:val="00605F24"/>
    <w:rsid w:val="0061445F"/>
    <w:rsid w:val="006231A3"/>
    <w:rsid w:val="0063128B"/>
    <w:rsid w:val="00641BE8"/>
    <w:rsid w:val="00655777"/>
    <w:rsid w:val="00661C71"/>
    <w:rsid w:val="00686712"/>
    <w:rsid w:val="006926A9"/>
    <w:rsid w:val="0069403D"/>
    <w:rsid w:val="006A2B3C"/>
    <w:rsid w:val="006D2F2F"/>
    <w:rsid w:val="006D4E6A"/>
    <w:rsid w:val="006D5B53"/>
    <w:rsid w:val="006D7115"/>
    <w:rsid w:val="0071265F"/>
    <w:rsid w:val="007136B1"/>
    <w:rsid w:val="00717148"/>
    <w:rsid w:val="00735677"/>
    <w:rsid w:val="00751700"/>
    <w:rsid w:val="007656E0"/>
    <w:rsid w:val="00772216"/>
    <w:rsid w:val="00783201"/>
    <w:rsid w:val="00784069"/>
    <w:rsid w:val="0078534F"/>
    <w:rsid w:val="007956C8"/>
    <w:rsid w:val="00796CBC"/>
    <w:rsid w:val="007B0B24"/>
    <w:rsid w:val="007B16EA"/>
    <w:rsid w:val="007B2AA9"/>
    <w:rsid w:val="007D4C6D"/>
    <w:rsid w:val="007D5CB2"/>
    <w:rsid w:val="007D7995"/>
    <w:rsid w:val="007E0A9F"/>
    <w:rsid w:val="007E63B4"/>
    <w:rsid w:val="007F23D9"/>
    <w:rsid w:val="00802535"/>
    <w:rsid w:val="0080791C"/>
    <w:rsid w:val="0081401F"/>
    <w:rsid w:val="00814ABE"/>
    <w:rsid w:val="008209B8"/>
    <w:rsid w:val="008227B1"/>
    <w:rsid w:val="00846865"/>
    <w:rsid w:val="0086150C"/>
    <w:rsid w:val="0086561F"/>
    <w:rsid w:val="00873543"/>
    <w:rsid w:val="00881546"/>
    <w:rsid w:val="00887AA9"/>
    <w:rsid w:val="008926EA"/>
    <w:rsid w:val="00896707"/>
    <w:rsid w:val="008A3241"/>
    <w:rsid w:val="008A3258"/>
    <w:rsid w:val="008B35D0"/>
    <w:rsid w:val="008B37CF"/>
    <w:rsid w:val="008B3B19"/>
    <w:rsid w:val="00901BDD"/>
    <w:rsid w:val="00907C2C"/>
    <w:rsid w:val="00916CA9"/>
    <w:rsid w:val="00917B4D"/>
    <w:rsid w:val="00925AAC"/>
    <w:rsid w:val="0093225E"/>
    <w:rsid w:val="0093601B"/>
    <w:rsid w:val="0094142F"/>
    <w:rsid w:val="00954794"/>
    <w:rsid w:val="00956106"/>
    <w:rsid w:val="00963F0F"/>
    <w:rsid w:val="00971F1C"/>
    <w:rsid w:val="00974EBA"/>
    <w:rsid w:val="00975F82"/>
    <w:rsid w:val="009A0C75"/>
    <w:rsid w:val="009A172A"/>
    <w:rsid w:val="009B2405"/>
    <w:rsid w:val="009B6444"/>
    <w:rsid w:val="009C3F39"/>
    <w:rsid w:val="009C6620"/>
    <w:rsid w:val="009D03D3"/>
    <w:rsid w:val="009E0D7D"/>
    <w:rsid w:val="009E148A"/>
    <w:rsid w:val="009F21EC"/>
    <w:rsid w:val="009F5B66"/>
    <w:rsid w:val="00A03FFB"/>
    <w:rsid w:val="00A049F4"/>
    <w:rsid w:val="00A148F3"/>
    <w:rsid w:val="00A21E9A"/>
    <w:rsid w:val="00A35211"/>
    <w:rsid w:val="00A459D8"/>
    <w:rsid w:val="00A55A2E"/>
    <w:rsid w:val="00A77331"/>
    <w:rsid w:val="00A86DBF"/>
    <w:rsid w:val="00A96D1B"/>
    <w:rsid w:val="00AA0042"/>
    <w:rsid w:val="00AD0C00"/>
    <w:rsid w:val="00AF252B"/>
    <w:rsid w:val="00AF2CC0"/>
    <w:rsid w:val="00AF631C"/>
    <w:rsid w:val="00B14F37"/>
    <w:rsid w:val="00B257D9"/>
    <w:rsid w:val="00B46C6D"/>
    <w:rsid w:val="00B652AD"/>
    <w:rsid w:val="00BA04B3"/>
    <w:rsid w:val="00BA3C95"/>
    <w:rsid w:val="00BB12A7"/>
    <w:rsid w:val="00BC23F4"/>
    <w:rsid w:val="00BD7D24"/>
    <w:rsid w:val="00BE57BA"/>
    <w:rsid w:val="00C023DD"/>
    <w:rsid w:val="00C03C72"/>
    <w:rsid w:val="00C03FBA"/>
    <w:rsid w:val="00C23740"/>
    <w:rsid w:val="00C3692B"/>
    <w:rsid w:val="00C5153E"/>
    <w:rsid w:val="00C53B95"/>
    <w:rsid w:val="00C57673"/>
    <w:rsid w:val="00C61B53"/>
    <w:rsid w:val="00C63EAC"/>
    <w:rsid w:val="00C65ED4"/>
    <w:rsid w:val="00C75512"/>
    <w:rsid w:val="00C81983"/>
    <w:rsid w:val="00CA1388"/>
    <w:rsid w:val="00CA2A06"/>
    <w:rsid w:val="00CA7AA7"/>
    <w:rsid w:val="00CB56A8"/>
    <w:rsid w:val="00CD57DD"/>
    <w:rsid w:val="00CF0A94"/>
    <w:rsid w:val="00CF0B26"/>
    <w:rsid w:val="00D01DDC"/>
    <w:rsid w:val="00D1059A"/>
    <w:rsid w:val="00D10C52"/>
    <w:rsid w:val="00D16C4E"/>
    <w:rsid w:val="00D22EC7"/>
    <w:rsid w:val="00D25ED1"/>
    <w:rsid w:val="00D349B4"/>
    <w:rsid w:val="00D35E51"/>
    <w:rsid w:val="00D47195"/>
    <w:rsid w:val="00D55209"/>
    <w:rsid w:val="00D57DE6"/>
    <w:rsid w:val="00D663AC"/>
    <w:rsid w:val="00D71337"/>
    <w:rsid w:val="00D72EF0"/>
    <w:rsid w:val="00D7745B"/>
    <w:rsid w:val="00D96C38"/>
    <w:rsid w:val="00DA44D8"/>
    <w:rsid w:val="00DC05B3"/>
    <w:rsid w:val="00DD48E6"/>
    <w:rsid w:val="00DF5781"/>
    <w:rsid w:val="00E010BB"/>
    <w:rsid w:val="00E119FE"/>
    <w:rsid w:val="00E31FDB"/>
    <w:rsid w:val="00E33587"/>
    <w:rsid w:val="00E355FB"/>
    <w:rsid w:val="00E35EB1"/>
    <w:rsid w:val="00E36ACF"/>
    <w:rsid w:val="00E41CFC"/>
    <w:rsid w:val="00E561D4"/>
    <w:rsid w:val="00E636ED"/>
    <w:rsid w:val="00E63CF4"/>
    <w:rsid w:val="00E65293"/>
    <w:rsid w:val="00EA2901"/>
    <w:rsid w:val="00EB3740"/>
    <w:rsid w:val="00ED049B"/>
    <w:rsid w:val="00EF0FDA"/>
    <w:rsid w:val="00F01528"/>
    <w:rsid w:val="00F254E8"/>
    <w:rsid w:val="00F44A2D"/>
    <w:rsid w:val="00F4724B"/>
    <w:rsid w:val="00F500DA"/>
    <w:rsid w:val="00F56F7D"/>
    <w:rsid w:val="00F6142B"/>
    <w:rsid w:val="00F778AA"/>
    <w:rsid w:val="00F856A9"/>
    <w:rsid w:val="00FA56C8"/>
    <w:rsid w:val="00FB23AF"/>
    <w:rsid w:val="00FB395F"/>
    <w:rsid w:val="01797B7A"/>
    <w:rsid w:val="01A86D70"/>
    <w:rsid w:val="02072FDF"/>
    <w:rsid w:val="02895B83"/>
    <w:rsid w:val="02A03FAC"/>
    <w:rsid w:val="02F024E4"/>
    <w:rsid w:val="030B1DAC"/>
    <w:rsid w:val="03100716"/>
    <w:rsid w:val="03327FC8"/>
    <w:rsid w:val="037E0F62"/>
    <w:rsid w:val="04003C23"/>
    <w:rsid w:val="04722F7B"/>
    <w:rsid w:val="051A35ED"/>
    <w:rsid w:val="053611A6"/>
    <w:rsid w:val="054D6B32"/>
    <w:rsid w:val="05D9012F"/>
    <w:rsid w:val="062736E9"/>
    <w:rsid w:val="062B0E77"/>
    <w:rsid w:val="063C6453"/>
    <w:rsid w:val="068154EF"/>
    <w:rsid w:val="07240E13"/>
    <w:rsid w:val="07676428"/>
    <w:rsid w:val="07954572"/>
    <w:rsid w:val="07E30E01"/>
    <w:rsid w:val="07F06A32"/>
    <w:rsid w:val="081E4C48"/>
    <w:rsid w:val="082110B6"/>
    <w:rsid w:val="08A15138"/>
    <w:rsid w:val="09353C93"/>
    <w:rsid w:val="0950775C"/>
    <w:rsid w:val="09CE42B4"/>
    <w:rsid w:val="09D973F0"/>
    <w:rsid w:val="0A270456"/>
    <w:rsid w:val="0A66650B"/>
    <w:rsid w:val="0B03361E"/>
    <w:rsid w:val="0B0B4989"/>
    <w:rsid w:val="0B25314B"/>
    <w:rsid w:val="0B8E665F"/>
    <w:rsid w:val="0BED636B"/>
    <w:rsid w:val="0C505AF1"/>
    <w:rsid w:val="0E8B2D5F"/>
    <w:rsid w:val="0EF820C6"/>
    <w:rsid w:val="0FC01888"/>
    <w:rsid w:val="1034478E"/>
    <w:rsid w:val="10560C4D"/>
    <w:rsid w:val="10BD0EF8"/>
    <w:rsid w:val="11B44425"/>
    <w:rsid w:val="11BE71E9"/>
    <w:rsid w:val="12A8761E"/>
    <w:rsid w:val="12C7247D"/>
    <w:rsid w:val="12CC3A02"/>
    <w:rsid w:val="12E973FB"/>
    <w:rsid w:val="12F64D28"/>
    <w:rsid w:val="1315069F"/>
    <w:rsid w:val="137C69C5"/>
    <w:rsid w:val="141E1B09"/>
    <w:rsid w:val="146A5639"/>
    <w:rsid w:val="14735A85"/>
    <w:rsid w:val="148C0255"/>
    <w:rsid w:val="14927570"/>
    <w:rsid w:val="14C941FB"/>
    <w:rsid w:val="14F55F88"/>
    <w:rsid w:val="1504304E"/>
    <w:rsid w:val="15297246"/>
    <w:rsid w:val="158C57B3"/>
    <w:rsid w:val="163D1C48"/>
    <w:rsid w:val="16C70F3D"/>
    <w:rsid w:val="16D93A0B"/>
    <w:rsid w:val="176A7375"/>
    <w:rsid w:val="178F4508"/>
    <w:rsid w:val="17B368F0"/>
    <w:rsid w:val="17B60D70"/>
    <w:rsid w:val="18C035AA"/>
    <w:rsid w:val="191A698F"/>
    <w:rsid w:val="192E7697"/>
    <w:rsid w:val="193F6F43"/>
    <w:rsid w:val="1968171F"/>
    <w:rsid w:val="19AB6A2A"/>
    <w:rsid w:val="19BC6CC5"/>
    <w:rsid w:val="19C87C97"/>
    <w:rsid w:val="19DA74DB"/>
    <w:rsid w:val="1A334E9F"/>
    <w:rsid w:val="1A421F25"/>
    <w:rsid w:val="1A4300A3"/>
    <w:rsid w:val="1B7B7906"/>
    <w:rsid w:val="1C1312CA"/>
    <w:rsid w:val="1C417485"/>
    <w:rsid w:val="1C453076"/>
    <w:rsid w:val="1C456974"/>
    <w:rsid w:val="1CFB0616"/>
    <w:rsid w:val="1DF106FF"/>
    <w:rsid w:val="1EE658F4"/>
    <w:rsid w:val="1F3A368B"/>
    <w:rsid w:val="1F915F1C"/>
    <w:rsid w:val="1FCC1CB6"/>
    <w:rsid w:val="202B2AF2"/>
    <w:rsid w:val="20306685"/>
    <w:rsid w:val="209E7E81"/>
    <w:rsid w:val="20B77792"/>
    <w:rsid w:val="20FA69A8"/>
    <w:rsid w:val="2109363E"/>
    <w:rsid w:val="211B285F"/>
    <w:rsid w:val="21C41AE4"/>
    <w:rsid w:val="21E020C6"/>
    <w:rsid w:val="21E567F2"/>
    <w:rsid w:val="21EE004A"/>
    <w:rsid w:val="22C140BD"/>
    <w:rsid w:val="24105632"/>
    <w:rsid w:val="24575C4F"/>
    <w:rsid w:val="250B16AA"/>
    <w:rsid w:val="25267701"/>
    <w:rsid w:val="258B55EA"/>
    <w:rsid w:val="25A45178"/>
    <w:rsid w:val="26242887"/>
    <w:rsid w:val="26800964"/>
    <w:rsid w:val="26C13D5E"/>
    <w:rsid w:val="26F63BA1"/>
    <w:rsid w:val="27A257A2"/>
    <w:rsid w:val="28504A33"/>
    <w:rsid w:val="28687EAB"/>
    <w:rsid w:val="286A17AF"/>
    <w:rsid w:val="289878B9"/>
    <w:rsid w:val="28DB5305"/>
    <w:rsid w:val="28E1774F"/>
    <w:rsid w:val="2996246F"/>
    <w:rsid w:val="2A187669"/>
    <w:rsid w:val="2A71597A"/>
    <w:rsid w:val="2A7B58FC"/>
    <w:rsid w:val="2B486992"/>
    <w:rsid w:val="2B823696"/>
    <w:rsid w:val="2B8C676B"/>
    <w:rsid w:val="2BFC3EB7"/>
    <w:rsid w:val="2C54610C"/>
    <w:rsid w:val="2C8D40AF"/>
    <w:rsid w:val="2CF728DC"/>
    <w:rsid w:val="2D1D5651"/>
    <w:rsid w:val="2D4A024D"/>
    <w:rsid w:val="2DA0278A"/>
    <w:rsid w:val="2E880E18"/>
    <w:rsid w:val="2EF15101"/>
    <w:rsid w:val="2EF36113"/>
    <w:rsid w:val="2FAA1D68"/>
    <w:rsid w:val="2FD11113"/>
    <w:rsid w:val="3045486B"/>
    <w:rsid w:val="30E71265"/>
    <w:rsid w:val="30F1201F"/>
    <w:rsid w:val="31832164"/>
    <w:rsid w:val="31BA471D"/>
    <w:rsid w:val="31BC6392"/>
    <w:rsid w:val="320A71DF"/>
    <w:rsid w:val="321C19EE"/>
    <w:rsid w:val="32F37CAF"/>
    <w:rsid w:val="338E6096"/>
    <w:rsid w:val="349C0998"/>
    <w:rsid w:val="34FF2317"/>
    <w:rsid w:val="3518289E"/>
    <w:rsid w:val="3558455C"/>
    <w:rsid w:val="359469A4"/>
    <w:rsid w:val="35A76110"/>
    <w:rsid w:val="35ED7DC0"/>
    <w:rsid w:val="36887D2C"/>
    <w:rsid w:val="36D82E7C"/>
    <w:rsid w:val="36E21CC0"/>
    <w:rsid w:val="373F4A34"/>
    <w:rsid w:val="37576936"/>
    <w:rsid w:val="37C14385"/>
    <w:rsid w:val="37C85A6F"/>
    <w:rsid w:val="383E728D"/>
    <w:rsid w:val="38A64043"/>
    <w:rsid w:val="38D80DDA"/>
    <w:rsid w:val="38E02B0F"/>
    <w:rsid w:val="38FE1FA9"/>
    <w:rsid w:val="390E1169"/>
    <w:rsid w:val="39E13D03"/>
    <w:rsid w:val="3A0F4A69"/>
    <w:rsid w:val="3A177EFB"/>
    <w:rsid w:val="3A310A95"/>
    <w:rsid w:val="3ABE5AF3"/>
    <w:rsid w:val="3AC23405"/>
    <w:rsid w:val="3AC455FA"/>
    <w:rsid w:val="3ADE27A0"/>
    <w:rsid w:val="3B923E16"/>
    <w:rsid w:val="3BD64483"/>
    <w:rsid w:val="3DA035CF"/>
    <w:rsid w:val="3DD95ACD"/>
    <w:rsid w:val="3E013C2E"/>
    <w:rsid w:val="3E040F68"/>
    <w:rsid w:val="3E81504E"/>
    <w:rsid w:val="3EC85743"/>
    <w:rsid w:val="3F7B1DD4"/>
    <w:rsid w:val="3FDA7850"/>
    <w:rsid w:val="402B407C"/>
    <w:rsid w:val="408A636F"/>
    <w:rsid w:val="40EA7211"/>
    <w:rsid w:val="411117D5"/>
    <w:rsid w:val="41305C04"/>
    <w:rsid w:val="41BD6CBD"/>
    <w:rsid w:val="41E33A47"/>
    <w:rsid w:val="42612CCE"/>
    <w:rsid w:val="42B17DA4"/>
    <w:rsid w:val="431F6C79"/>
    <w:rsid w:val="43780F03"/>
    <w:rsid w:val="43B4753C"/>
    <w:rsid w:val="43CA445E"/>
    <w:rsid w:val="44501A81"/>
    <w:rsid w:val="44C71CE6"/>
    <w:rsid w:val="44F901B8"/>
    <w:rsid w:val="45090952"/>
    <w:rsid w:val="45AB5409"/>
    <w:rsid w:val="463445DE"/>
    <w:rsid w:val="46A60EB1"/>
    <w:rsid w:val="47501FC5"/>
    <w:rsid w:val="47974B61"/>
    <w:rsid w:val="47A64313"/>
    <w:rsid w:val="47B50031"/>
    <w:rsid w:val="48120F7F"/>
    <w:rsid w:val="48FD1E88"/>
    <w:rsid w:val="49035752"/>
    <w:rsid w:val="494778EA"/>
    <w:rsid w:val="494A7926"/>
    <w:rsid w:val="495279EA"/>
    <w:rsid w:val="495D4F93"/>
    <w:rsid w:val="496038EF"/>
    <w:rsid w:val="49603CFC"/>
    <w:rsid w:val="4971156A"/>
    <w:rsid w:val="499D64DB"/>
    <w:rsid w:val="4A0B48AE"/>
    <w:rsid w:val="4A565F98"/>
    <w:rsid w:val="4A6628C3"/>
    <w:rsid w:val="4AC42881"/>
    <w:rsid w:val="4B13414F"/>
    <w:rsid w:val="4B723144"/>
    <w:rsid w:val="4BB61845"/>
    <w:rsid w:val="4BE4232D"/>
    <w:rsid w:val="4CFE5DF2"/>
    <w:rsid w:val="4D662919"/>
    <w:rsid w:val="4D8E413D"/>
    <w:rsid w:val="4DE21544"/>
    <w:rsid w:val="4E981A6B"/>
    <w:rsid w:val="4EBC23F3"/>
    <w:rsid w:val="4EE2358D"/>
    <w:rsid w:val="4F3813E4"/>
    <w:rsid w:val="4F491762"/>
    <w:rsid w:val="50120718"/>
    <w:rsid w:val="51842D6A"/>
    <w:rsid w:val="519B00B4"/>
    <w:rsid w:val="51CD0E7D"/>
    <w:rsid w:val="51E065E0"/>
    <w:rsid w:val="51F1746D"/>
    <w:rsid w:val="52241EB7"/>
    <w:rsid w:val="52B96798"/>
    <w:rsid w:val="52DC00D9"/>
    <w:rsid w:val="52EA72D9"/>
    <w:rsid w:val="532305BA"/>
    <w:rsid w:val="5369740D"/>
    <w:rsid w:val="53FD5FC4"/>
    <w:rsid w:val="54363BAA"/>
    <w:rsid w:val="54A4666B"/>
    <w:rsid w:val="552355A3"/>
    <w:rsid w:val="55494F54"/>
    <w:rsid w:val="554C6B67"/>
    <w:rsid w:val="55737573"/>
    <w:rsid w:val="55D71720"/>
    <w:rsid w:val="56043445"/>
    <w:rsid w:val="56AC7262"/>
    <w:rsid w:val="56EF0905"/>
    <w:rsid w:val="571D7B92"/>
    <w:rsid w:val="57FE253D"/>
    <w:rsid w:val="58040BF9"/>
    <w:rsid w:val="585844FD"/>
    <w:rsid w:val="5877069C"/>
    <w:rsid w:val="58E230FD"/>
    <w:rsid w:val="590E025D"/>
    <w:rsid w:val="59A105FB"/>
    <w:rsid w:val="5A0647B1"/>
    <w:rsid w:val="5B2302CB"/>
    <w:rsid w:val="5B24602D"/>
    <w:rsid w:val="5B407629"/>
    <w:rsid w:val="5B801D1B"/>
    <w:rsid w:val="5B883259"/>
    <w:rsid w:val="5C6D20B8"/>
    <w:rsid w:val="5C7B1018"/>
    <w:rsid w:val="5CB13C7B"/>
    <w:rsid w:val="5D141AEB"/>
    <w:rsid w:val="5D5A4D82"/>
    <w:rsid w:val="5D7C6575"/>
    <w:rsid w:val="5D911291"/>
    <w:rsid w:val="5DC54DD0"/>
    <w:rsid w:val="5DDC1186"/>
    <w:rsid w:val="5E1B6821"/>
    <w:rsid w:val="5E337257"/>
    <w:rsid w:val="5E813B30"/>
    <w:rsid w:val="5EB63BE8"/>
    <w:rsid w:val="5F182951"/>
    <w:rsid w:val="5F7E1420"/>
    <w:rsid w:val="5FDD5B19"/>
    <w:rsid w:val="606F664B"/>
    <w:rsid w:val="60CD3FB2"/>
    <w:rsid w:val="60D2765C"/>
    <w:rsid w:val="612A74A7"/>
    <w:rsid w:val="61481F40"/>
    <w:rsid w:val="61851A51"/>
    <w:rsid w:val="6270290A"/>
    <w:rsid w:val="62794A85"/>
    <w:rsid w:val="62DB063E"/>
    <w:rsid w:val="62F225FE"/>
    <w:rsid w:val="63531DDF"/>
    <w:rsid w:val="64983C98"/>
    <w:rsid w:val="654E4EE6"/>
    <w:rsid w:val="663C214A"/>
    <w:rsid w:val="664D37CE"/>
    <w:rsid w:val="66C71829"/>
    <w:rsid w:val="66F37E01"/>
    <w:rsid w:val="675733B1"/>
    <w:rsid w:val="687B0D34"/>
    <w:rsid w:val="68B010A2"/>
    <w:rsid w:val="68D066CD"/>
    <w:rsid w:val="69324B5A"/>
    <w:rsid w:val="695B5475"/>
    <w:rsid w:val="697B3175"/>
    <w:rsid w:val="69A86F45"/>
    <w:rsid w:val="6A1E726F"/>
    <w:rsid w:val="6A281917"/>
    <w:rsid w:val="6A8169E2"/>
    <w:rsid w:val="6B1F59C1"/>
    <w:rsid w:val="6B582A2A"/>
    <w:rsid w:val="6B8A6EE5"/>
    <w:rsid w:val="6B99357C"/>
    <w:rsid w:val="6BD83173"/>
    <w:rsid w:val="6BF05643"/>
    <w:rsid w:val="6CD51C5E"/>
    <w:rsid w:val="6D657421"/>
    <w:rsid w:val="6D6C140A"/>
    <w:rsid w:val="6E850100"/>
    <w:rsid w:val="6EDC07A3"/>
    <w:rsid w:val="6F09697F"/>
    <w:rsid w:val="6F347726"/>
    <w:rsid w:val="6F662ACB"/>
    <w:rsid w:val="6F822E81"/>
    <w:rsid w:val="6F936779"/>
    <w:rsid w:val="6FCA1D66"/>
    <w:rsid w:val="6FF40828"/>
    <w:rsid w:val="70455DE2"/>
    <w:rsid w:val="705411F1"/>
    <w:rsid w:val="706630DF"/>
    <w:rsid w:val="707E0012"/>
    <w:rsid w:val="70CB6843"/>
    <w:rsid w:val="710F6FFF"/>
    <w:rsid w:val="71B10D0F"/>
    <w:rsid w:val="71C04B07"/>
    <w:rsid w:val="71D711F3"/>
    <w:rsid w:val="722D2A5F"/>
    <w:rsid w:val="730E428D"/>
    <w:rsid w:val="73491D24"/>
    <w:rsid w:val="734B79D6"/>
    <w:rsid w:val="73910A4C"/>
    <w:rsid w:val="74777DCA"/>
    <w:rsid w:val="7494442E"/>
    <w:rsid w:val="74A01FBC"/>
    <w:rsid w:val="75523B02"/>
    <w:rsid w:val="75A36668"/>
    <w:rsid w:val="75C44367"/>
    <w:rsid w:val="75F83993"/>
    <w:rsid w:val="7609326C"/>
    <w:rsid w:val="761756AB"/>
    <w:rsid w:val="77466C6C"/>
    <w:rsid w:val="778B6711"/>
    <w:rsid w:val="77962542"/>
    <w:rsid w:val="77BA4E5B"/>
    <w:rsid w:val="78345E97"/>
    <w:rsid w:val="784A6B13"/>
    <w:rsid w:val="78703576"/>
    <w:rsid w:val="7879563C"/>
    <w:rsid w:val="78824B38"/>
    <w:rsid w:val="78D541F5"/>
    <w:rsid w:val="79991335"/>
    <w:rsid w:val="79CB049F"/>
    <w:rsid w:val="79ED1F47"/>
    <w:rsid w:val="79F6224C"/>
    <w:rsid w:val="7A312B64"/>
    <w:rsid w:val="7A583B2A"/>
    <w:rsid w:val="7A633FE0"/>
    <w:rsid w:val="7B0C1557"/>
    <w:rsid w:val="7B3158BE"/>
    <w:rsid w:val="7B361733"/>
    <w:rsid w:val="7C865702"/>
    <w:rsid w:val="7CF6426C"/>
    <w:rsid w:val="7D4269D3"/>
    <w:rsid w:val="7D7E0DEF"/>
    <w:rsid w:val="7D823DE2"/>
    <w:rsid w:val="7E0D3968"/>
    <w:rsid w:val="7E22158C"/>
    <w:rsid w:val="7E560C07"/>
    <w:rsid w:val="7E6775F2"/>
    <w:rsid w:val="7E886CE7"/>
    <w:rsid w:val="7F3C5CCF"/>
    <w:rsid w:val="7F613CEE"/>
    <w:rsid w:val="7F65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4A2D"/>
    <w:pPr>
      <w:widowControl w:val="0"/>
      <w:spacing w:line="480" w:lineRule="exact"/>
      <w:ind w:firstLineChars="200" w:firstLine="420"/>
      <w:jc w:val="both"/>
    </w:pPr>
    <w:rPr>
      <w:rFonts w:cstheme="minorBidi"/>
      <w:kern w:val="2"/>
      <w:sz w:val="28"/>
      <w:szCs w:val="28"/>
    </w:rPr>
  </w:style>
  <w:style w:type="paragraph" w:styleId="1">
    <w:name w:val="heading 1"/>
    <w:basedOn w:val="a"/>
    <w:next w:val="a"/>
    <w:qFormat/>
    <w:rsid w:val="00F44A2D"/>
    <w:pPr>
      <w:keepNext/>
      <w:keepLines/>
      <w:numPr>
        <w:numId w:val="1"/>
      </w:numPr>
      <w:tabs>
        <w:tab w:val="left" w:pos="0"/>
      </w:tabs>
      <w:spacing w:before="240" w:after="240" w:line="360" w:lineRule="auto"/>
      <w:ind w:firstLineChars="0"/>
      <w:jc w:val="left"/>
      <w:outlineLvl w:val="0"/>
    </w:pPr>
    <w:rPr>
      <w:rFonts w:eastAsia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unhideWhenUsed/>
    <w:qFormat/>
    <w:rsid w:val="00F44A2D"/>
    <w:pPr>
      <w:keepNext/>
      <w:keepLines/>
      <w:numPr>
        <w:ilvl w:val="1"/>
        <w:numId w:val="1"/>
      </w:numPr>
      <w:tabs>
        <w:tab w:val="left" w:pos="0"/>
      </w:tabs>
      <w:spacing w:before="120" w:after="120" w:line="360" w:lineRule="auto"/>
      <w:ind w:firstLineChars="0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F44A2D"/>
    <w:pPr>
      <w:keepNext/>
      <w:keepLines/>
      <w:numPr>
        <w:ilvl w:val="2"/>
        <w:numId w:val="1"/>
      </w:numPr>
      <w:tabs>
        <w:tab w:val="left" w:pos="0"/>
        <w:tab w:val="left" w:pos="420"/>
      </w:tabs>
      <w:spacing w:line="360" w:lineRule="auto"/>
      <w:ind w:firstLineChars="0"/>
      <w:outlineLvl w:val="2"/>
    </w:pPr>
    <w:rPr>
      <w:rFonts w:eastAsia="黑体"/>
      <w:b/>
      <w:bCs/>
      <w:sz w:val="30"/>
      <w:szCs w:val="30"/>
    </w:rPr>
  </w:style>
  <w:style w:type="paragraph" w:styleId="4">
    <w:name w:val="heading 4"/>
    <w:basedOn w:val="a"/>
    <w:next w:val="a"/>
    <w:unhideWhenUsed/>
    <w:qFormat/>
    <w:rsid w:val="00F44A2D"/>
    <w:pPr>
      <w:keepNext/>
      <w:keepLines/>
      <w:numPr>
        <w:ilvl w:val="3"/>
        <w:numId w:val="1"/>
      </w:numPr>
      <w:tabs>
        <w:tab w:val="left" w:pos="0"/>
        <w:tab w:val="left" w:pos="420"/>
      </w:tabs>
      <w:ind w:firstLineChars="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rsid w:val="00F44A2D"/>
    <w:pPr>
      <w:jc w:val="left"/>
    </w:pPr>
  </w:style>
  <w:style w:type="paragraph" w:styleId="30">
    <w:name w:val="toc 3"/>
    <w:basedOn w:val="a"/>
    <w:next w:val="a"/>
    <w:uiPriority w:val="39"/>
    <w:qFormat/>
    <w:rsid w:val="00F44A2D"/>
    <w:pPr>
      <w:ind w:leftChars="400" w:left="840"/>
    </w:pPr>
    <w:rPr>
      <w:sz w:val="24"/>
      <w:szCs w:val="24"/>
    </w:rPr>
  </w:style>
  <w:style w:type="paragraph" w:styleId="a4">
    <w:name w:val="Balloon Text"/>
    <w:basedOn w:val="a"/>
    <w:link w:val="Char0"/>
    <w:qFormat/>
    <w:rsid w:val="00F44A2D"/>
    <w:pPr>
      <w:spacing w:line="240" w:lineRule="auto"/>
    </w:pPr>
    <w:rPr>
      <w:sz w:val="18"/>
      <w:szCs w:val="18"/>
    </w:rPr>
  </w:style>
  <w:style w:type="paragraph" w:styleId="a5">
    <w:name w:val="footer"/>
    <w:basedOn w:val="a"/>
    <w:qFormat/>
    <w:rsid w:val="00F44A2D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sz w:val="18"/>
      <w:szCs w:val="18"/>
    </w:rPr>
  </w:style>
  <w:style w:type="paragraph" w:styleId="a6">
    <w:name w:val="header"/>
    <w:basedOn w:val="a"/>
    <w:qFormat/>
    <w:rsid w:val="00F44A2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F44A2D"/>
    <w:rPr>
      <w:b/>
      <w:bCs/>
    </w:rPr>
  </w:style>
  <w:style w:type="paragraph" w:styleId="20">
    <w:name w:val="toc 2"/>
    <w:basedOn w:val="a"/>
    <w:next w:val="a"/>
    <w:uiPriority w:val="39"/>
    <w:qFormat/>
    <w:rsid w:val="00F44A2D"/>
    <w:pPr>
      <w:ind w:leftChars="200" w:left="420"/>
    </w:pPr>
    <w:rPr>
      <w:sz w:val="24"/>
      <w:szCs w:val="24"/>
    </w:rPr>
  </w:style>
  <w:style w:type="paragraph" w:styleId="a7">
    <w:name w:val="Normal (Web)"/>
    <w:basedOn w:val="a"/>
    <w:qFormat/>
    <w:rsid w:val="00F44A2D"/>
    <w:rPr>
      <w:sz w:val="24"/>
    </w:rPr>
  </w:style>
  <w:style w:type="paragraph" w:styleId="a8">
    <w:name w:val="annotation subject"/>
    <w:basedOn w:val="a3"/>
    <w:next w:val="a3"/>
    <w:link w:val="Char1"/>
    <w:qFormat/>
    <w:rsid w:val="00F44A2D"/>
    <w:rPr>
      <w:b/>
      <w:bCs/>
    </w:rPr>
  </w:style>
  <w:style w:type="table" w:styleId="a9">
    <w:name w:val="Table Grid"/>
    <w:basedOn w:val="a1"/>
    <w:qFormat/>
    <w:rsid w:val="00F44A2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qFormat/>
    <w:rsid w:val="00F44A2D"/>
    <w:rPr>
      <w:color w:val="0563C1" w:themeColor="hyperlink"/>
      <w:u w:val="single"/>
    </w:rPr>
  </w:style>
  <w:style w:type="character" w:styleId="ab">
    <w:name w:val="annotation reference"/>
    <w:basedOn w:val="a0"/>
    <w:semiHidden/>
    <w:unhideWhenUsed/>
    <w:qFormat/>
    <w:rsid w:val="00F44A2D"/>
    <w:rPr>
      <w:sz w:val="21"/>
      <w:szCs w:val="21"/>
    </w:rPr>
  </w:style>
  <w:style w:type="paragraph" w:customStyle="1" w:styleId="ac">
    <w:name w:val="证书号"/>
    <w:basedOn w:val="a"/>
    <w:qFormat/>
    <w:rsid w:val="00F44A2D"/>
    <w:pPr>
      <w:spacing w:line="240" w:lineRule="auto"/>
      <w:ind w:firstLineChars="0" w:firstLine="0"/>
      <w:jc w:val="left"/>
    </w:pPr>
    <w:rPr>
      <w:rFonts w:eastAsia="黑体"/>
      <w:sz w:val="30"/>
      <w:szCs w:val="30"/>
    </w:rPr>
  </w:style>
  <w:style w:type="paragraph" w:customStyle="1" w:styleId="ad">
    <w:name w:val="封面标题"/>
    <w:basedOn w:val="a"/>
    <w:qFormat/>
    <w:rsid w:val="00F44A2D"/>
    <w:pPr>
      <w:spacing w:line="240" w:lineRule="auto"/>
      <w:ind w:firstLineChars="0" w:firstLine="0"/>
      <w:jc w:val="center"/>
    </w:pPr>
    <w:rPr>
      <w:rFonts w:eastAsia="黑体"/>
      <w:b/>
      <w:bCs/>
      <w:sz w:val="52"/>
      <w:szCs w:val="52"/>
    </w:rPr>
  </w:style>
  <w:style w:type="paragraph" w:customStyle="1" w:styleId="ae">
    <w:name w:val="图片"/>
    <w:basedOn w:val="a"/>
    <w:qFormat/>
    <w:rsid w:val="00F44A2D"/>
    <w:pPr>
      <w:spacing w:line="240" w:lineRule="auto"/>
      <w:ind w:firstLineChars="0" w:firstLine="0"/>
      <w:jc w:val="center"/>
    </w:pPr>
  </w:style>
  <w:style w:type="paragraph" w:customStyle="1" w:styleId="af">
    <w:name w:val="图表标题"/>
    <w:basedOn w:val="a"/>
    <w:qFormat/>
    <w:rsid w:val="00F44A2D"/>
    <w:pPr>
      <w:ind w:firstLineChars="0" w:firstLine="0"/>
      <w:jc w:val="center"/>
    </w:pPr>
    <w:rPr>
      <w:rFonts w:eastAsia="黑体"/>
      <w:b/>
      <w:bCs/>
      <w:sz w:val="24"/>
      <w:szCs w:val="24"/>
    </w:rPr>
  </w:style>
  <w:style w:type="paragraph" w:customStyle="1" w:styleId="af0">
    <w:name w:val="表格"/>
    <w:basedOn w:val="a"/>
    <w:qFormat/>
    <w:rsid w:val="00F44A2D"/>
    <w:pPr>
      <w:spacing w:line="240" w:lineRule="auto"/>
      <w:ind w:firstLineChars="0" w:firstLine="0"/>
      <w:jc w:val="center"/>
    </w:pPr>
    <w:rPr>
      <w:bCs/>
      <w:sz w:val="24"/>
    </w:rPr>
  </w:style>
  <w:style w:type="paragraph" w:customStyle="1" w:styleId="af1">
    <w:name w:val="声明"/>
    <w:basedOn w:val="a"/>
    <w:qFormat/>
    <w:rsid w:val="00F44A2D"/>
    <w:rPr>
      <w:rFonts w:eastAsia="黑体"/>
    </w:rPr>
  </w:style>
  <w:style w:type="paragraph" w:customStyle="1" w:styleId="af2">
    <w:name w:val="编制人员"/>
    <w:basedOn w:val="a"/>
    <w:qFormat/>
    <w:rsid w:val="00F44A2D"/>
    <w:pPr>
      <w:spacing w:line="240" w:lineRule="auto"/>
      <w:ind w:firstLineChars="0" w:firstLine="0"/>
      <w:jc w:val="center"/>
    </w:pPr>
    <w:rPr>
      <w:rFonts w:hint="eastAsia"/>
      <w:sz w:val="30"/>
      <w:szCs w:val="30"/>
    </w:rPr>
  </w:style>
  <w:style w:type="character" w:customStyle="1" w:styleId="Char0">
    <w:name w:val="批注框文本 Char"/>
    <w:basedOn w:val="a0"/>
    <w:link w:val="a4"/>
    <w:qFormat/>
    <w:rsid w:val="00F44A2D"/>
    <w:rPr>
      <w:rFonts w:cstheme="minorBidi"/>
      <w:kern w:val="2"/>
      <w:sz w:val="18"/>
      <w:szCs w:val="18"/>
    </w:rPr>
  </w:style>
  <w:style w:type="paragraph" w:styleId="af3">
    <w:name w:val="List Paragraph"/>
    <w:basedOn w:val="a"/>
    <w:uiPriority w:val="99"/>
    <w:qFormat/>
    <w:rsid w:val="00F44A2D"/>
  </w:style>
  <w:style w:type="character" w:customStyle="1" w:styleId="Char">
    <w:name w:val="批注文字 Char"/>
    <w:basedOn w:val="a0"/>
    <w:link w:val="a3"/>
    <w:semiHidden/>
    <w:qFormat/>
    <w:rsid w:val="00F44A2D"/>
    <w:rPr>
      <w:rFonts w:cstheme="minorBidi"/>
      <w:kern w:val="2"/>
      <w:sz w:val="28"/>
      <w:szCs w:val="28"/>
    </w:rPr>
  </w:style>
  <w:style w:type="character" w:customStyle="1" w:styleId="Char1">
    <w:name w:val="批注主题 Char"/>
    <w:basedOn w:val="Char"/>
    <w:link w:val="a8"/>
    <w:qFormat/>
    <w:rsid w:val="00F44A2D"/>
    <w:rPr>
      <w:rFonts w:cstheme="minorBidi"/>
      <w:b/>
      <w:bCs/>
      <w:kern w:val="2"/>
      <w:sz w:val="28"/>
      <w:szCs w:val="28"/>
    </w:rPr>
  </w:style>
  <w:style w:type="paragraph" w:customStyle="1" w:styleId="af4">
    <w:name w:val="表头"/>
    <w:basedOn w:val="a"/>
    <w:qFormat/>
    <w:rsid w:val="00F44A2D"/>
    <w:pPr>
      <w:spacing w:beforeLines="50"/>
      <w:ind w:firstLineChars="0" w:firstLine="0"/>
      <w:jc w:val="center"/>
    </w:pPr>
    <w:rPr>
      <w:rFonts w:eastAsia="黑体"/>
      <w:b/>
      <w:bCs/>
      <w:sz w:val="24"/>
      <w:szCs w:val="24"/>
    </w:rPr>
  </w:style>
  <w:style w:type="paragraph" w:customStyle="1" w:styleId="af5">
    <w:name w:val="图名"/>
    <w:basedOn w:val="a"/>
    <w:next w:val="a"/>
    <w:qFormat/>
    <w:rsid w:val="00F44A2D"/>
    <w:pPr>
      <w:spacing w:afterLines="50"/>
      <w:ind w:firstLineChars="0" w:firstLine="0"/>
      <w:jc w:val="center"/>
    </w:pPr>
    <w:rPr>
      <w:rFonts w:eastAsia="黑体" w:hint="eastAsia"/>
      <w:b/>
      <w:bCs/>
      <w:sz w:val="24"/>
      <w:szCs w:val="24"/>
    </w:rPr>
  </w:style>
  <w:style w:type="paragraph" w:customStyle="1" w:styleId="11">
    <w:name w:val="修订1"/>
    <w:hidden/>
    <w:uiPriority w:val="99"/>
    <w:unhideWhenUsed/>
    <w:qFormat/>
    <w:rsid w:val="00F44A2D"/>
    <w:rPr>
      <w:rFonts w:cstheme="minorBidi"/>
      <w:kern w:val="2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F44A2D"/>
    <w:rPr>
      <w:color w:val="605E5C"/>
      <w:shd w:val="clear" w:color="auto" w:fill="E1DFDD"/>
    </w:rPr>
  </w:style>
  <w:style w:type="paragraph" w:customStyle="1" w:styleId="21">
    <w:name w:val="修订2"/>
    <w:hidden/>
    <w:uiPriority w:val="99"/>
    <w:unhideWhenUsed/>
    <w:rsid w:val="00F44A2D"/>
    <w:rPr>
      <w:rFonts w:cstheme="minorBidi"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baidu.com/link?url=L-c1o_51xdKTMAKku1c6N4Pcey58JH4ELbMOGt77ufuJ0bNiKyvTn4ghe6thtfS6Gs1c7tNgZkmw0SKMufzZd_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mee.gov.cn/ywgz/fgbz/bz/bzwb/stzl/201605/W020160510519061748011.pdf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mee.gov.cn/ywgz/fgbz/bz/bzwb/stzl/201411/W020141106529795756324.pdf" TargetMode="External"/><Relationship Id="rId20" Type="http://schemas.openxmlformats.org/officeDocument/2006/relationships/image" Target="media/image3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1811</Words>
  <Characters>10327</Characters>
  <Application>Microsoft Office Word</Application>
  <DocSecurity>0</DocSecurity>
  <Lines>86</Lines>
  <Paragraphs>24</Paragraphs>
  <ScaleCrop>false</ScaleCrop>
  <Company>LG</Company>
  <LinksUpToDate>false</LinksUpToDate>
  <CharactersWithSpaces>12114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水工所</dc:creator>
  <cp:lastModifiedBy>Administrator</cp:lastModifiedBy>
  <cp:revision>13</cp:revision>
  <cp:lastPrinted>2023-07-26T06:16:00Z</cp:lastPrinted>
  <dcterms:created xsi:type="dcterms:W3CDTF">2023-08-31T07:02:00Z</dcterms:created>
  <dcterms:modified xsi:type="dcterms:W3CDTF">2023-10-27T02:03:00Z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BEB80B0C8F43401C9829C90CE9C32A07</vt:lpwstr>
  </property>
</Properties>
</file>