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1B" w:rsidRDefault="00B62F04">
      <w:pPr>
        <w:spacing w:after="0" w:line="6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54241B" w:rsidRDefault="0054241B">
      <w:pPr>
        <w:pStyle w:val="a4"/>
      </w:pPr>
    </w:p>
    <w:p w:rsidR="0054241B" w:rsidRDefault="00B62F04">
      <w:pPr>
        <w:spacing w:after="0" w:line="60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关于《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关于加强工程土方市级消纳场所结算管理的通知（征求意见稿）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》</w:t>
      </w:r>
      <w:bookmarkStart w:id="0" w:name="_GoBack"/>
      <w:r>
        <w:rPr>
          <w:rFonts w:ascii="华文中宋" w:eastAsia="华文中宋" w:hAnsi="华文中宋" w:cs="Times New Roman" w:hint="eastAsia"/>
          <w:b/>
          <w:sz w:val="36"/>
          <w:szCs w:val="36"/>
        </w:rPr>
        <w:t>起草说明</w:t>
      </w:r>
    </w:p>
    <w:bookmarkEnd w:id="0"/>
    <w:p w:rsidR="0054241B" w:rsidRDefault="0054241B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一、编制背景</w:t>
      </w: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为贯彻落实市委</w:t>
      </w:r>
      <w:r w:rsidR="00693C0A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市政府工作部署，加强工程土方“一出一进”管理，规范市级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工程土方</w:t>
      </w:r>
      <w:r>
        <w:rPr>
          <w:rFonts w:ascii="仿宋_GB2312" w:eastAsia="仿宋_GB2312" w:hAnsi="仿宋_GB2312" w:cs="仿宋_GB2312" w:hint="eastAsia"/>
          <w:sz w:val="32"/>
          <w:szCs w:val="32"/>
        </w:rPr>
        <w:t>消纳场所结算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《上海市市容环境卫生管理条例》《上海市建筑垃圾处理管理规定》（沪府令第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号公布）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等相关法规、规章、标准和市政府有关文件，市绿化市容局起草了《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关于加强工程土方市级消纳场所结算管理的通知（征求意见稿）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》（以下简称《通知》）。</w:t>
      </w: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二、起草过程</w:t>
      </w: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在原有工作基础上，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月启动制定本《通知》，进一步加以完善，主要</w:t>
      </w:r>
      <w:r>
        <w:rPr>
          <w:rFonts w:ascii="仿宋_GB2312" w:eastAsia="仿宋_GB2312" w:hint="eastAsia"/>
          <w:sz w:val="32"/>
          <w:szCs w:val="32"/>
        </w:rPr>
        <w:t>依据《上海市市容环境卫生管理条例》《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上海市建筑垃圾处理管理规定》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对建设工程垃圾的处置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管理要求，重点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明确了运输与处置费用的列支，运输费与处置费的确定，备案和处置申报审核的重点，工地、运输单位、消纳场所主体的管理责任，及各管理单位的工作职责等方面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《通知》于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月下旬开始在内部征询意见，经充分听取局内相关部门、市分类中心意见基础上，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环卫处召开了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部分管理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部门和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企业代表参加的座谈会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听取意见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后于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发通知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书面征求各区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绿化市容局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意见。</w:t>
      </w:r>
    </w:p>
    <w:p w:rsidR="0054241B" w:rsidRDefault="00B62F04">
      <w:pPr>
        <w:pStyle w:val="a6"/>
        <w:widowControl/>
        <w:spacing w:before="0" w:beforeAutospacing="0" w:after="0" w:afterAutospacing="0" w:line="24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三、主要内容</w:t>
      </w:r>
    </w:p>
    <w:p w:rsidR="0054241B" w:rsidRDefault="00B62F0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为推进工程土方市级消纳场所的结算工作，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亟待完善制度，明确相关行业管理部门的责任。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一是研究工程土方预算编制流程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。通过信息价发布和成本测算等方式提供土方概算依据，明确施工工地分列运输、</w:t>
      </w:r>
      <w:r>
        <w:rPr>
          <w:rFonts w:ascii="仿宋_GB2312" w:eastAsia="仿宋_GB2312" w:hAnsi="仿宋_GB2312" w:cs="仿宋_GB2312"/>
          <w:sz w:val="32"/>
          <w:szCs w:val="32"/>
        </w:rPr>
        <w:t>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费的义务，以及行业管理部门核查施工单位运输、</w:t>
      </w:r>
      <w:r>
        <w:rPr>
          <w:rFonts w:ascii="仿宋_GB2312" w:eastAsia="仿宋_GB2312" w:hAnsi="仿宋_GB2312" w:cs="仿宋_GB2312"/>
          <w:sz w:val="32"/>
          <w:szCs w:val="32"/>
        </w:rPr>
        <w:t>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合同的责任。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二是研究土方计量运行机制。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根据工程土方的管理实际，明确场所经营单位是计量设备的安装运行责任人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，确定工地、运输车辆、中转码头和消纳场所计量运行规范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241B" w:rsidRDefault="00B62F0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本《通知》共分五个部分：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3"/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一、科学编制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工程</w:t>
      </w: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土方处置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概算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FangSong_GB2312" w:cs="FangSong_GB2312" w:hint="eastAsia"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相关部门联合定期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组织开展工程土方运输及处置的成本调查工作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，并适时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公开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发布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市级消纳场所的处置价格。土方相关的概算或预算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的编制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中，各建设单位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严格按照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公开发布的运输信息价和消纳场所处置价格，科学合理编列土方运输费用及处置费用。在建工程垃圾处理方案备案以及对建筑垃圾处置进行核准时，各区绿化市容管理部门严格核查提交的运输与处置合同价格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，确保土方相关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价格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不能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显著偏离正常市场价格水平。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3"/>
        <w:outlineLvl w:val="4"/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二、合理确定土方运输单位和消纳场所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FangSong_GB2312" w:cs="FangSong_GB2312" w:hint="eastAsia"/>
          <w:kern w:val="10"/>
          <w:sz w:val="32"/>
          <w:szCs w:val="32"/>
        </w:rPr>
      </w:pPr>
      <w:r>
        <w:rPr>
          <w:rFonts w:ascii="仿宋_GB2312" w:eastAsia="仿宋_GB2312" w:hAnsi="FangSong_GB2312" w:cs="FangSong_GB2312"/>
          <w:kern w:val="10"/>
          <w:sz w:val="32"/>
          <w:szCs w:val="32"/>
        </w:rPr>
        <w:lastRenderedPageBreak/>
        <w:t>施工单位应通过公平竞争机制择优确定土方运输单位，并签订运输合同，明确运输量、运输价格及运费结算方式。进入市级消纳场所处理，由运营单位与施工单位签订处置协议，界定处置量、处置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价格及相关费用结算。对于采取施工、运输及消纳一体化运营模式的单位，还需进一步说明运输和处置价格的构成要素。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3"/>
        <w:outlineLvl w:val="4"/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三、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精准</w:t>
      </w: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计量工程土方处置数量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FangSong_GB2312" w:cs="FangSong_GB2312" w:hint="eastAsia"/>
          <w:kern w:val="10"/>
          <w:sz w:val="32"/>
          <w:szCs w:val="32"/>
        </w:rPr>
      </w:pPr>
      <w:r>
        <w:rPr>
          <w:rFonts w:ascii="仿宋_GB2312" w:eastAsia="仿宋_GB2312" w:hAnsi="FangSong_GB2312" w:cs="FangSong_GB2312"/>
          <w:kern w:val="10"/>
          <w:sz w:val="32"/>
          <w:szCs w:val="32"/>
        </w:rPr>
        <w:t>出土工地施工单位、码头和消纳场所经营单位根据标准要求实施信息化设备安装与运维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，并落实管理责任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。运输单位应确保装卸、运输作业时，车辆（船舶）相关传感数据全程客观记录并实时上传监管平台。码头与消纳场所负责汇总土方数据并生成日报，平台依此建立统一台账，作为作业量核定与费用结算的共同依据。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3"/>
        <w:outlineLvl w:val="4"/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四、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规范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结算</w:t>
      </w: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土方运输和处置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费</w:t>
      </w: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用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FangSong_GB2312" w:cs="FangSong_GB2312" w:hint="eastAsia"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明确了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土方运输和处置费用应分别结算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，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运输费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用由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施工单位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根据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合同价格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和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市级消纳场所消纳凭证向运输单位支付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。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处置费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用由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施工单位根据合同价市级消纳场所计量数据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(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重量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)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向市级消纳场所经营单位支付。施工单位与运输单位签订工程土方运输和处置一体协议的，可由施工单位委托运输单位向市级消纳场所经营单位支付处置费。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3"/>
        <w:outlineLvl w:val="3"/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</w:pP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五</w:t>
      </w:r>
      <w:r>
        <w:rPr>
          <w:rFonts w:ascii="仿宋_GB2312" w:eastAsia="仿宋_GB2312" w:hAnsi="FangSong_GB2312" w:cs="FangSong_GB2312" w:hint="eastAsia"/>
          <w:b/>
          <w:bCs/>
          <w:kern w:val="10"/>
          <w:sz w:val="32"/>
          <w:szCs w:val="32"/>
        </w:rPr>
        <w:t>、明确</w:t>
      </w:r>
      <w:r>
        <w:rPr>
          <w:rFonts w:ascii="仿宋_GB2312" w:eastAsia="仿宋_GB2312" w:hAnsi="FangSong_GB2312" w:cs="FangSong_GB2312"/>
          <w:b/>
          <w:bCs/>
          <w:kern w:val="10"/>
          <w:sz w:val="32"/>
          <w:szCs w:val="32"/>
        </w:rPr>
        <w:t>责任分工</w:t>
      </w:r>
    </w:p>
    <w:p w:rsidR="0054241B" w:rsidRDefault="00B62F04">
      <w:pPr>
        <w:pStyle w:val="a3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明确了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市绿化市容部门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、市住建部门、市交通部门等在本通知工作内容中的责任分工。并明确了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各区绿化市容管理部门的监督管理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责任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，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需对在建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工程土方处置情况进行核查</w:t>
      </w:r>
      <w:r>
        <w:rPr>
          <w:rFonts w:ascii="仿宋_GB2312" w:eastAsia="仿宋_GB2312" w:hAnsi="FangSong_GB2312" w:cs="FangSong_GB2312"/>
          <w:kern w:val="10"/>
          <w:sz w:val="32"/>
          <w:szCs w:val="32"/>
        </w:rPr>
        <w:t>。</w:t>
      </w:r>
    </w:p>
    <w:sectPr w:rsidR="0054241B" w:rsidSect="0054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F04" w:rsidRDefault="00B62F04">
      <w:pPr>
        <w:spacing w:line="240" w:lineRule="auto"/>
      </w:pPr>
      <w:r>
        <w:separator/>
      </w:r>
    </w:p>
  </w:endnote>
  <w:endnote w:type="continuationSeparator" w:id="1">
    <w:p w:rsidR="00B62F04" w:rsidRDefault="00B62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舒体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F04" w:rsidRDefault="00B62F04">
      <w:pPr>
        <w:spacing w:after="0"/>
      </w:pPr>
      <w:r>
        <w:separator/>
      </w:r>
    </w:p>
  </w:footnote>
  <w:footnote w:type="continuationSeparator" w:id="1">
    <w:p w:rsidR="00B62F04" w:rsidRDefault="00B62F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988"/>
    <w:rsid w:val="BEDEE370"/>
    <w:rsid w:val="CDBF734D"/>
    <w:rsid w:val="CFDB4033"/>
    <w:rsid w:val="D77F8682"/>
    <w:rsid w:val="D9FFB44E"/>
    <w:rsid w:val="DDBF43D0"/>
    <w:rsid w:val="FF7973D7"/>
    <w:rsid w:val="FFDD01B8"/>
    <w:rsid w:val="002E1A09"/>
    <w:rsid w:val="004C3867"/>
    <w:rsid w:val="00515454"/>
    <w:rsid w:val="0054241B"/>
    <w:rsid w:val="00693C0A"/>
    <w:rsid w:val="00AA48A2"/>
    <w:rsid w:val="00B16A58"/>
    <w:rsid w:val="00B62F04"/>
    <w:rsid w:val="00C17988"/>
    <w:rsid w:val="00D0611E"/>
    <w:rsid w:val="26EEB035"/>
    <w:rsid w:val="31FFDD5B"/>
    <w:rsid w:val="3F8D9501"/>
    <w:rsid w:val="5DFDCB01"/>
    <w:rsid w:val="5FDDD2C2"/>
    <w:rsid w:val="6767CCA7"/>
    <w:rsid w:val="73FF92A3"/>
    <w:rsid w:val="76CF8A3E"/>
    <w:rsid w:val="79AF3820"/>
    <w:rsid w:val="7F6F1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1B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4241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4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41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41B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41B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41B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41B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41B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41B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4241B"/>
    <w:pPr>
      <w:spacing w:after="120"/>
    </w:pPr>
  </w:style>
  <w:style w:type="paragraph" w:styleId="a4">
    <w:name w:val="index heading"/>
    <w:basedOn w:val="a"/>
    <w:next w:val="10"/>
    <w:qFormat/>
    <w:rsid w:val="0054241B"/>
    <w:rPr>
      <w:rFonts w:ascii="Arial" w:eastAsia="宋体" w:hAnsi="Arial" w:cs="Arial"/>
      <w:b/>
      <w:bCs/>
    </w:rPr>
  </w:style>
  <w:style w:type="paragraph" w:styleId="10">
    <w:name w:val="index 1"/>
    <w:basedOn w:val="a"/>
    <w:next w:val="a"/>
    <w:unhideWhenUsed/>
    <w:qFormat/>
    <w:rsid w:val="0054241B"/>
  </w:style>
  <w:style w:type="paragraph" w:styleId="a5">
    <w:name w:val="Subtitle"/>
    <w:basedOn w:val="a"/>
    <w:next w:val="a"/>
    <w:link w:val="Char"/>
    <w:uiPriority w:val="11"/>
    <w:qFormat/>
    <w:rsid w:val="0054241B"/>
    <w:p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Normal (Web)"/>
    <w:basedOn w:val="a"/>
    <w:qFormat/>
    <w:rsid w:val="0054241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rsid w:val="00542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5424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542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542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4241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4241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54241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54241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54241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54241B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7"/>
    <w:uiPriority w:val="10"/>
    <w:qFormat/>
    <w:rsid w:val="0054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5"/>
    <w:uiPriority w:val="11"/>
    <w:qFormat/>
    <w:rsid w:val="00542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1"/>
    <w:uiPriority w:val="29"/>
    <w:qFormat/>
    <w:rsid w:val="0054241B"/>
    <w:pPr>
      <w:spacing w:before="160" w:line="240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Char1">
    <w:name w:val="引用 Char"/>
    <w:basedOn w:val="a0"/>
    <w:link w:val="a8"/>
    <w:uiPriority w:val="29"/>
    <w:qFormat/>
    <w:rsid w:val="00542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1B"/>
    <w:pPr>
      <w:spacing w:after="0" w:line="240" w:lineRule="auto"/>
      <w:ind w:left="720"/>
      <w:contextualSpacing/>
    </w:pPr>
    <w:rPr>
      <w:szCs w:val="24"/>
    </w:rPr>
  </w:style>
  <w:style w:type="character" w:customStyle="1" w:styleId="11">
    <w:name w:val="明显强调1"/>
    <w:basedOn w:val="a0"/>
    <w:uiPriority w:val="21"/>
    <w:qFormat/>
    <w:rsid w:val="0054241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2"/>
    <w:uiPriority w:val="30"/>
    <w:qFormat/>
    <w:rsid w:val="00542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Char2">
    <w:name w:val="明显引用 Char"/>
    <w:basedOn w:val="a0"/>
    <w:link w:val="aa"/>
    <w:uiPriority w:val="30"/>
    <w:qFormat/>
    <w:rsid w:val="0054241B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sid w:val="0054241B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Char3"/>
    <w:uiPriority w:val="99"/>
    <w:semiHidden/>
    <w:unhideWhenUsed/>
    <w:rsid w:val="0069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693C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693C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693C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Zhang</dc:creator>
  <cp:lastModifiedBy>admin</cp:lastModifiedBy>
  <cp:revision>4</cp:revision>
  <cp:lastPrinted>2024-08-20T16:52:00Z</cp:lastPrinted>
  <dcterms:created xsi:type="dcterms:W3CDTF">2024-08-10T05:23:00Z</dcterms:created>
  <dcterms:modified xsi:type="dcterms:W3CDTF">2025-12-04T06:37:00Z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1C7ABA7DE7641A0B18D02F69CC234C82_43</vt:lpwstr>
  </property>
</Properties>
</file>